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FB2" w:rsidRDefault="008E7598">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北京市地热调查研究所</w:t>
      </w:r>
      <w:r>
        <w:rPr>
          <w:rFonts w:ascii="方正小标宋简体" w:eastAsia="方正小标宋简体" w:hint="eastAsia"/>
          <w:color w:val="000000"/>
          <w:sz w:val="36"/>
          <w:szCs w:val="36"/>
        </w:rPr>
        <w:t>2023</w:t>
      </w:r>
      <w:r>
        <w:rPr>
          <w:rFonts w:ascii="方正小标宋简体" w:eastAsia="方正小标宋简体" w:hint="eastAsia"/>
          <w:color w:val="000000"/>
          <w:sz w:val="36"/>
          <w:szCs w:val="36"/>
        </w:rPr>
        <w:t>年</w:t>
      </w:r>
      <w:r>
        <w:rPr>
          <w:rFonts w:ascii="方正小标宋简体" w:eastAsia="方正小标宋简体" w:hint="eastAsia"/>
          <w:color w:val="000000"/>
          <w:sz w:val="36"/>
          <w:szCs w:val="36"/>
        </w:rPr>
        <w:t>财政预算信息公开</w:t>
      </w:r>
    </w:p>
    <w:p w:rsidR="003C5FB2" w:rsidRDefault="003C5FB2">
      <w:pPr>
        <w:spacing w:line="240" w:lineRule="exact"/>
        <w:jc w:val="center"/>
        <w:rPr>
          <w:rFonts w:ascii="方正小标宋简体" w:eastAsia="方正小标宋简体"/>
          <w:color w:val="000000"/>
          <w:sz w:val="32"/>
          <w:szCs w:val="32"/>
        </w:rPr>
      </w:pPr>
    </w:p>
    <w:p w:rsidR="003C5FB2" w:rsidRDefault="008E7598">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2"/>
          <w:szCs w:val="32"/>
        </w:rPr>
        <w:t>目</w:t>
      </w:r>
      <w:r>
        <w:rPr>
          <w:rFonts w:ascii="方正小标宋简体" w:eastAsia="方正小标宋简体" w:hint="eastAsia"/>
          <w:color w:val="000000"/>
          <w:sz w:val="32"/>
          <w:szCs w:val="32"/>
        </w:rPr>
        <w:t xml:space="preserve">   </w:t>
      </w:r>
      <w:r>
        <w:rPr>
          <w:rFonts w:ascii="方正小标宋简体" w:eastAsia="方正小标宋简体" w:hint="eastAsia"/>
          <w:color w:val="000000"/>
          <w:sz w:val="32"/>
          <w:szCs w:val="32"/>
        </w:rPr>
        <w:t>录</w:t>
      </w:r>
    </w:p>
    <w:p w:rsidR="003C5FB2" w:rsidRDefault="003C5FB2">
      <w:pPr>
        <w:spacing w:line="240" w:lineRule="exact"/>
        <w:jc w:val="center"/>
        <w:rPr>
          <w:rFonts w:ascii="方正小标宋简体" w:eastAsia="方正小标宋简体"/>
          <w:color w:val="000000"/>
          <w:sz w:val="32"/>
          <w:szCs w:val="32"/>
        </w:rPr>
      </w:pPr>
    </w:p>
    <w:p w:rsidR="003C5FB2" w:rsidRDefault="008E7598">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第一部分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2023</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度单位预算情况说明</w:t>
      </w:r>
    </w:p>
    <w:p w:rsidR="003C5FB2" w:rsidRDefault="008E7598">
      <w:pPr>
        <w:spacing w:line="560" w:lineRule="exact"/>
        <w:ind w:firstLineChars="200" w:firstLine="640"/>
        <w:rPr>
          <w:rFonts w:ascii="仿宋_GB2312" w:eastAsia="仿宋_GB2312" w:hAnsi="仿宋_GB2312" w:cs="仿宋_GB2312"/>
          <w:color w:val="000000"/>
          <w:sz w:val="32"/>
          <w:szCs w:val="32"/>
          <w:lang w:val="en"/>
        </w:rPr>
      </w:pPr>
      <w:r>
        <w:rPr>
          <w:rFonts w:ascii="仿宋_GB2312" w:eastAsia="仿宋_GB2312" w:hAnsi="仿宋_GB2312" w:cs="仿宋_GB2312" w:hint="eastAsia"/>
          <w:color w:val="000000"/>
          <w:sz w:val="32"/>
          <w:szCs w:val="32"/>
        </w:rPr>
        <w:t>一、单位情况</w:t>
      </w:r>
      <w:r>
        <w:rPr>
          <w:rFonts w:ascii="仿宋_GB2312" w:eastAsia="仿宋_GB2312" w:hAnsi="仿宋_GB2312" w:cs="仿宋_GB2312" w:hint="eastAsia"/>
          <w:color w:val="000000"/>
          <w:sz w:val="32"/>
          <w:szCs w:val="32"/>
        </w:rPr>
        <w:t>说明</w:t>
      </w:r>
    </w:p>
    <w:p w:rsidR="003C5FB2" w:rsidRDefault="008E7598">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二、收入</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3C5FB2" w:rsidRDefault="008E7598">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三、支出</w:t>
      </w:r>
      <w:r>
        <w:rPr>
          <w:rFonts w:ascii="仿宋_GB2312" w:eastAsia="仿宋_GB2312" w:hAnsi="仿宋_GB2312" w:cs="仿宋_GB2312" w:hint="eastAsia"/>
          <w:color w:val="000000"/>
          <w:sz w:val="32"/>
          <w:szCs w:val="32"/>
        </w:rPr>
        <w:t>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3C5FB2" w:rsidRDefault="008E7598">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四、财政拨款“三公”经费预算</w:t>
      </w:r>
      <w:r>
        <w:rPr>
          <w:rFonts w:ascii="仿宋_GB2312" w:eastAsia="仿宋_GB2312" w:hAnsi="仿宋_GB2312" w:cs="仿宋_GB2312" w:hint="eastAsia"/>
          <w:color w:val="000000"/>
          <w:sz w:val="32"/>
          <w:szCs w:val="32"/>
        </w:rPr>
        <w:t>情况</w:t>
      </w:r>
      <w:r>
        <w:rPr>
          <w:rFonts w:ascii="仿宋_GB2312" w:eastAsia="仿宋_GB2312" w:hAnsi="仿宋_GB2312" w:cs="仿宋_GB2312" w:hint="eastAsia"/>
          <w:color w:val="000000"/>
          <w:sz w:val="32"/>
          <w:szCs w:val="32"/>
        </w:rPr>
        <w:t>说明</w:t>
      </w:r>
    </w:p>
    <w:p w:rsidR="003C5FB2" w:rsidRDefault="008E7598">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五、其他情况说明</w:t>
      </w:r>
    </w:p>
    <w:p w:rsidR="003C5FB2" w:rsidRDefault="008E7598">
      <w:pPr>
        <w:spacing w:line="56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六、名词解释</w:t>
      </w:r>
    </w:p>
    <w:p w:rsidR="003C5FB2" w:rsidRDefault="008E7598">
      <w:pPr>
        <w:spacing w:line="560" w:lineRule="exact"/>
        <w:rPr>
          <w:rFonts w:ascii="黑体" w:eastAsia="黑体" w:hAnsi="黑体" w:cs="黑体"/>
          <w:color w:val="000000"/>
          <w:sz w:val="32"/>
          <w:szCs w:val="32"/>
        </w:rPr>
      </w:pPr>
      <w:r>
        <w:rPr>
          <w:rFonts w:ascii="黑体" w:eastAsia="黑体" w:hAnsi="黑体" w:cs="黑体" w:hint="eastAsia"/>
          <w:color w:val="000000"/>
          <w:sz w:val="32"/>
          <w:szCs w:val="32"/>
        </w:rPr>
        <w:t>第二部分</w:t>
      </w:r>
      <w:r>
        <w:rPr>
          <w:rFonts w:ascii="黑体" w:eastAsia="黑体" w:hAnsi="黑体" w:cs="黑体" w:hint="eastAsia"/>
          <w:color w:val="000000"/>
          <w:sz w:val="32"/>
          <w:szCs w:val="32"/>
        </w:rPr>
        <w:t xml:space="preserve"> </w:t>
      </w:r>
      <w:r>
        <w:rPr>
          <w:rFonts w:ascii="黑体" w:eastAsia="黑体" w:hAnsi="黑体" w:cs="黑体" w:hint="eastAsia"/>
          <w:color w:val="000000"/>
          <w:sz w:val="32"/>
          <w:szCs w:val="32"/>
        </w:rPr>
        <w:t>2023</w:t>
      </w:r>
      <w:r>
        <w:rPr>
          <w:rFonts w:ascii="黑体" w:eastAsia="黑体" w:hAnsi="黑体" w:cs="黑体" w:hint="eastAsia"/>
          <w:color w:val="000000"/>
          <w:sz w:val="32"/>
          <w:szCs w:val="32"/>
        </w:rPr>
        <w:t>年</w:t>
      </w:r>
      <w:r>
        <w:rPr>
          <w:rFonts w:ascii="黑体" w:eastAsia="黑体" w:hAnsi="黑体" w:cs="黑体" w:hint="eastAsia"/>
          <w:color w:val="000000"/>
          <w:sz w:val="32"/>
          <w:szCs w:val="32"/>
        </w:rPr>
        <w:t>度单位预算报表</w:t>
      </w:r>
    </w:p>
    <w:p w:rsidR="003C5FB2" w:rsidRDefault="008E7598">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一、收支总表</w:t>
      </w:r>
    </w:p>
    <w:p w:rsidR="003C5FB2" w:rsidRDefault="008E7598">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二、收入总表</w:t>
      </w:r>
      <w:r>
        <w:rPr>
          <w:rFonts w:ascii="仿宋_GB2312" w:eastAsia="仿宋_GB2312" w:hAnsi="仿宋_GB2312" w:cs="仿宋_GB2312" w:hint="eastAsia"/>
          <w:color w:val="000000"/>
          <w:kern w:val="0"/>
          <w:sz w:val="32"/>
          <w:szCs w:val="32"/>
          <w:lang w:val="zh-CN"/>
        </w:rPr>
        <w:t xml:space="preserve">    </w:t>
      </w:r>
    </w:p>
    <w:p w:rsidR="003C5FB2" w:rsidRDefault="008E7598">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三、支出总表</w:t>
      </w:r>
    </w:p>
    <w:p w:rsidR="003C5FB2" w:rsidRDefault="008E7598">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四、项目支出表</w:t>
      </w:r>
    </w:p>
    <w:p w:rsidR="003C5FB2" w:rsidRDefault="008E7598">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五、政府采购预算明细表</w:t>
      </w:r>
    </w:p>
    <w:p w:rsidR="003C5FB2" w:rsidRDefault="008E7598">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六、财政拨款收支总表</w:t>
      </w:r>
    </w:p>
    <w:p w:rsidR="003C5FB2" w:rsidRDefault="008E7598">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kern w:val="0"/>
          <w:sz w:val="32"/>
          <w:szCs w:val="32"/>
          <w:lang w:val="zh-CN"/>
        </w:rPr>
        <w:t>七、一般公共预算财政拨款支出表</w:t>
      </w:r>
    </w:p>
    <w:p w:rsidR="003C5FB2" w:rsidRDefault="008E7598">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Pr>
          <w:rFonts w:ascii="仿宋_GB2312" w:eastAsia="仿宋_GB2312" w:hAnsi="仿宋_GB2312" w:cs="仿宋_GB2312" w:hint="eastAsia"/>
          <w:color w:val="000000"/>
          <w:kern w:val="0"/>
          <w:sz w:val="32"/>
          <w:szCs w:val="32"/>
          <w:lang w:val="zh-CN"/>
        </w:rPr>
        <w:t xml:space="preserve">    </w:t>
      </w:r>
      <w:r>
        <w:rPr>
          <w:rFonts w:ascii="仿宋_GB2312" w:eastAsia="仿宋_GB2312" w:hAnsi="仿宋_GB2312" w:cs="仿宋_GB2312" w:hint="eastAsia"/>
          <w:color w:val="000000"/>
          <w:spacing w:val="-16"/>
          <w:kern w:val="0"/>
          <w:sz w:val="32"/>
          <w:szCs w:val="32"/>
          <w:lang w:val="zh-CN"/>
        </w:rPr>
        <w:t>八、一般公共预算财政拨款基本支出表</w:t>
      </w:r>
    </w:p>
    <w:p w:rsidR="003C5FB2" w:rsidRDefault="008E7598">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九、政府性基金预算财政拨款支出表</w:t>
      </w:r>
    </w:p>
    <w:p w:rsidR="003C5FB2" w:rsidRDefault="008E7598">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kern w:val="0"/>
          <w:sz w:val="32"/>
          <w:szCs w:val="32"/>
          <w:lang w:val="zh-CN"/>
        </w:rPr>
        <w:t>十、国有资本经营预算财政拨款支出表</w:t>
      </w:r>
    </w:p>
    <w:p w:rsidR="003C5FB2" w:rsidRDefault="008E7598">
      <w:pPr>
        <w:autoSpaceDE w:val="0"/>
        <w:autoSpaceDN w:val="0"/>
        <w:adjustRightInd w:val="0"/>
        <w:spacing w:line="560" w:lineRule="exact"/>
        <w:ind w:firstLineChars="222" w:firstLine="639"/>
        <w:jc w:val="left"/>
        <w:rPr>
          <w:rFonts w:ascii="仿宋_GB2312" w:eastAsia="仿宋_GB2312" w:hAnsi="仿宋_GB2312" w:cs="仿宋_GB2312"/>
          <w:color w:val="000000"/>
          <w:kern w:val="0"/>
          <w:sz w:val="32"/>
          <w:szCs w:val="32"/>
          <w:lang w:val="zh-CN"/>
        </w:rPr>
      </w:pPr>
      <w:r>
        <w:rPr>
          <w:rFonts w:ascii="仿宋_GB2312" w:eastAsia="仿宋_GB2312" w:hAnsi="仿宋_GB2312" w:cs="仿宋_GB2312" w:hint="eastAsia"/>
          <w:color w:val="000000"/>
          <w:spacing w:val="-16"/>
          <w:kern w:val="0"/>
          <w:sz w:val="32"/>
          <w:szCs w:val="32"/>
          <w:lang w:val="zh-CN"/>
        </w:rPr>
        <w:t>十一、财政拨款</w:t>
      </w:r>
      <w:r>
        <w:rPr>
          <w:rFonts w:ascii="仿宋_GB2312" w:eastAsia="仿宋_GB2312" w:hAnsi="仿宋_GB2312" w:cs="仿宋_GB2312" w:hint="eastAsia"/>
          <w:color w:val="000000"/>
          <w:kern w:val="0"/>
          <w:sz w:val="32"/>
          <w:szCs w:val="32"/>
          <w:lang w:val="zh-CN"/>
        </w:rPr>
        <w:t>“三公”经费支出表</w:t>
      </w:r>
    </w:p>
    <w:p w:rsidR="003C5FB2" w:rsidRDefault="008E7598">
      <w:pPr>
        <w:autoSpaceDE w:val="0"/>
        <w:autoSpaceDN w:val="0"/>
        <w:adjustRightInd w:val="0"/>
        <w:spacing w:line="560" w:lineRule="exact"/>
        <w:ind w:firstLineChars="225" w:firstLine="639"/>
        <w:jc w:val="left"/>
        <w:rPr>
          <w:rFonts w:ascii="仿宋_GB2312" w:eastAsia="仿宋_GB2312" w:hAnsi="仿宋_GB2312" w:cs="仿宋_GB2312"/>
          <w:color w:val="000000"/>
          <w:spacing w:val="-18"/>
          <w:kern w:val="0"/>
          <w:sz w:val="32"/>
          <w:szCs w:val="32"/>
          <w:lang w:val="zh-CN"/>
        </w:rPr>
      </w:pPr>
      <w:r>
        <w:rPr>
          <w:rFonts w:ascii="仿宋_GB2312" w:eastAsia="仿宋_GB2312" w:hAnsi="仿宋_GB2312" w:cs="仿宋_GB2312" w:hint="eastAsia"/>
          <w:color w:val="000000"/>
          <w:spacing w:val="-18"/>
          <w:kern w:val="0"/>
          <w:sz w:val="32"/>
          <w:szCs w:val="32"/>
          <w:lang w:val="zh-CN"/>
        </w:rPr>
        <w:t>十二、政府购买服务预算财政拨款明细表</w:t>
      </w:r>
    </w:p>
    <w:p w:rsidR="003C5FB2" w:rsidRDefault="008E7598">
      <w:pPr>
        <w:autoSpaceDE w:val="0"/>
        <w:autoSpaceDN w:val="0"/>
        <w:adjustRightInd w:val="0"/>
        <w:spacing w:line="560" w:lineRule="exact"/>
        <w:ind w:firstLineChars="200" w:firstLine="640"/>
        <w:jc w:val="left"/>
        <w:rPr>
          <w:rFonts w:ascii="方正小标宋简体" w:eastAsia="方正小标宋简体"/>
          <w:color w:val="000000"/>
          <w:sz w:val="36"/>
          <w:szCs w:val="36"/>
        </w:rPr>
      </w:pPr>
      <w:r>
        <w:rPr>
          <w:rFonts w:ascii="仿宋_GB2312" w:eastAsia="仿宋_GB2312" w:hAnsi="仿宋_GB2312" w:cs="仿宋_GB2312" w:hint="eastAsia"/>
          <w:color w:val="000000"/>
          <w:kern w:val="0"/>
          <w:sz w:val="32"/>
          <w:szCs w:val="32"/>
          <w:lang w:val="zh-CN"/>
        </w:rPr>
        <w:t>十三、项目支出绩效目标表</w:t>
      </w:r>
    </w:p>
    <w:p w:rsidR="003C5FB2" w:rsidRDefault="008E7598">
      <w:pPr>
        <w:spacing w:line="560" w:lineRule="exact"/>
        <w:jc w:val="center"/>
        <w:rPr>
          <w:rFonts w:ascii="方正小标宋简体" w:eastAsia="方正小标宋简体"/>
          <w:color w:val="000000"/>
          <w:sz w:val="32"/>
          <w:szCs w:val="32"/>
        </w:rPr>
      </w:pPr>
      <w:r>
        <w:rPr>
          <w:rFonts w:ascii="方正小标宋简体" w:eastAsia="方正小标宋简体" w:hint="eastAsia"/>
          <w:color w:val="000000"/>
          <w:sz w:val="36"/>
          <w:szCs w:val="36"/>
        </w:rPr>
        <w:lastRenderedPageBreak/>
        <w:t>第一部分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2023</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单位预算情况说明</w:t>
      </w:r>
    </w:p>
    <w:p w:rsidR="003C5FB2" w:rsidRDefault="003C5FB2">
      <w:pPr>
        <w:spacing w:line="360" w:lineRule="auto"/>
        <w:rPr>
          <w:rFonts w:ascii="仿宋_GB2312" w:eastAsia="仿宋_GB2312"/>
          <w:color w:val="000000"/>
          <w:sz w:val="32"/>
          <w:szCs w:val="32"/>
        </w:rPr>
      </w:pPr>
    </w:p>
    <w:p w:rsidR="003C5FB2" w:rsidRDefault="008E7598">
      <w:pPr>
        <w:spacing w:line="560" w:lineRule="exact"/>
        <w:ind w:firstLineChars="200" w:firstLine="640"/>
        <w:rPr>
          <w:rFonts w:ascii="黑体" w:eastAsia="黑体"/>
          <w:color w:val="000000"/>
          <w:sz w:val="32"/>
          <w:szCs w:val="32"/>
        </w:rPr>
      </w:pPr>
      <w:r>
        <w:rPr>
          <w:rFonts w:ascii="黑体" w:eastAsia="黑体" w:hint="eastAsia"/>
          <w:color w:val="000000"/>
          <w:sz w:val="32"/>
          <w:szCs w:val="32"/>
        </w:rPr>
        <w:t>一、单位情况</w:t>
      </w:r>
      <w:r>
        <w:rPr>
          <w:rFonts w:ascii="黑体" w:eastAsia="黑体" w:hint="eastAsia"/>
          <w:color w:val="000000"/>
          <w:sz w:val="32"/>
          <w:szCs w:val="32"/>
        </w:rPr>
        <w:t>说明</w:t>
      </w:r>
    </w:p>
    <w:p w:rsidR="003C5FB2" w:rsidRDefault="008E7598">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（一）本单位性质、职责等情况</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根据《中共北京市委机构编制委员会关于市规划自然资源系统所属事业单位改革有关事项的批复》（京编委〔</w:t>
      </w:r>
      <w:r>
        <w:rPr>
          <w:rFonts w:ascii="仿宋_GB2312" w:eastAsia="仿宋_GB2312" w:hint="eastAsia"/>
          <w:color w:val="000000"/>
          <w:sz w:val="32"/>
          <w:szCs w:val="32"/>
        </w:rPr>
        <w:t>2021</w:t>
      </w:r>
      <w:r>
        <w:rPr>
          <w:rFonts w:ascii="仿宋_GB2312" w:eastAsia="仿宋_GB2312" w:hint="eastAsia"/>
          <w:color w:val="000000"/>
          <w:sz w:val="32"/>
          <w:szCs w:val="32"/>
        </w:rPr>
        <w:t>〕</w:t>
      </w:r>
      <w:r>
        <w:rPr>
          <w:rFonts w:ascii="仿宋_GB2312" w:eastAsia="仿宋_GB2312" w:hint="eastAsia"/>
          <w:color w:val="000000"/>
          <w:sz w:val="32"/>
          <w:szCs w:val="32"/>
        </w:rPr>
        <w:t>123</w:t>
      </w:r>
      <w:r>
        <w:rPr>
          <w:rFonts w:ascii="仿宋_GB2312" w:eastAsia="仿宋_GB2312" w:hint="eastAsia"/>
          <w:color w:val="000000"/>
          <w:sz w:val="32"/>
          <w:szCs w:val="32"/>
        </w:rPr>
        <w:t>号）</w:t>
      </w:r>
      <w:r>
        <w:rPr>
          <w:rFonts w:ascii="仿宋_GB2312" w:eastAsia="仿宋_GB2312" w:hint="eastAsia"/>
          <w:color w:val="000000"/>
          <w:sz w:val="32"/>
          <w:szCs w:val="32"/>
        </w:rPr>
        <w:t>,</w:t>
      </w:r>
      <w:r>
        <w:rPr>
          <w:rFonts w:ascii="仿宋_GB2312" w:eastAsia="仿宋_GB2312" w:hint="eastAsia"/>
          <w:color w:val="000000"/>
          <w:sz w:val="32"/>
          <w:szCs w:val="32"/>
        </w:rPr>
        <w:t>北京市地热研究院更名为北京市地热调查研究所，为北京市地质矿产勘查院所属的</w:t>
      </w:r>
      <w:r>
        <w:rPr>
          <w:rFonts w:ascii="仿宋_GB2312" w:eastAsia="仿宋_GB2312" w:hint="eastAsia"/>
          <w:color w:val="000000"/>
          <w:sz w:val="32"/>
          <w:szCs w:val="32"/>
        </w:rPr>
        <w:t>公益二类事业单位，主要职责为：</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承担本市地热地质勘查、地热资源调查评价相关工作；</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承担浅层地热能资源勘查、开发利用，综合研究；</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承担浅层地热能监测网的建设、运行和管理等事务性工作。</w:t>
      </w:r>
    </w:p>
    <w:p w:rsidR="003C5FB2" w:rsidRDefault="008E7598">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（二）机构设置情况</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北京市地热调查研究所内设</w:t>
      </w:r>
      <w:r>
        <w:rPr>
          <w:rFonts w:ascii="仿宋_GB2312" w:eastAsia="仿宋_GB2312" w:hint="eastAsia"/>
          <w:color w:val="000000"/>
          <w:sz w:val="32"/>
          <w:szCs w:val="32"/>
        </w:rPr>
        <w:t>19</w:t>
      </w:r>
      <w:r>
        <w:rPr>
          <w:rFonts w:ascii="仿宋_GB2312" w:eastAsia="仿宋_GB2312" w:hint="eastAsia"/>
          <w:color w:val="000000"/>
          <w:sz w:val="32"/>
          <w:szCs w:val="32"/>
        </w:rPr>
        <w:t>个科室，分别为党办（团委）、工会、监察审计科、退休办、办公室（政策研究室）、人事科、计财科、安全生产管理科、基地管理科、总工办、浅层地温能研究中心、地热动态监测中心、地热资源研究中心、地热工程技术研究所、事业收入办公室、地质勘查中心、热泵工程中心、水资源中心等。</w:t>
      </w:r>
    </w:p>
    <w:p w:rsidR="003C5FB2" w:rsidRDefault="008E7598">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（三）人员</w:t>
      </w:r>
      <w:r>
        <w:rPr>
          <w:rFonts w:ascii="楷体_GB2312" w:eastAsia="楷体_GB2312" w:hint="eastAsia"/>
          <w:color w:val="000000"/>
          <w:sz w:val="32"/>
          <w:szCs w:val="32"/>
        </w:rPr>
        <w:t>编制及实有</w:t>
      </w:r>
      <w:r>
        <w:rPr>
          <w:rFonts w:ascii="楷体_GB2312" w:eastAsia="楷体_GB2312" w:hint="eastAsia"/>
          <w:color w:val="000000"/>
          <w:sz w:val="32"/>
          <w:szCs w:val="32"/>
        </w:rPr>
        <w:t>情况</w:t>
      </w:r>
    </w:p>
    <w:p w:rsidR="00FD106D" w:rsidRDefault="008E7598">
      <w:pPr>
        <w:spacing w:line="560" w:lineRule="exact"/>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 xml:space="preserve"> </w:t>
      </w:r>
      <w:r>
        <w:rPr>
          <w:rFonts w:ascii="仿宋_GB2312" w:eastAsia="仿宋_GB2312" w:hint="eastAsia"/>
          <w:color w:val="000000"/>
          <w:sz w:val="32"/>
          <w:szCs w:val="32"/>
        </w:rPr>
        <w:t>北京市地热调查研究所行政编制</w:t>
      </w:r>
      <w:r>
        <w:rPr>
          <w:rFonts w:ascii="仿宋_GB2312" w:eastAsia="仿宋_GB2312" w:hint="eastAsia"/>
          <w:color w:val="000000"/>
          <w:sz w:val="32"/>
          <w:szCs w:val="32"/>
        </w:rPr>
        <w:t>0</w:t>
      </w:r>
      <w:r>
        <w:rPr>
          <w:rFonts w:ascii="仿宋_GB2312" w:eastAsia="仿宋_GB2312" w:hint="eastAsia"/>
          <w:color w:val="000000"/>
          <w:sz w:val="32"/>
          <w:szCs w:val="32"/>
        </w:rPr>
        <w:t>人，实有人数</w:t>
      </w:r>
      <w:r>
        <w:rPr>
          <w:rFonts w:ascii="仿宋_GB2312" w:eastAsia="仿宋_GB2312" w:hint="eastAsia"/>
          <w:color w:val="000000"/>
          <w:sz w:val="32"/>
          <w:szCs w:val="32"/>
        </w:rPr>
        <w:t>0</w:t>
      </w:r>
      <w:r>
        <w:rPr>
          <w:rFonts w:ascii="仿宋_GB2312" w:eastAsia="仿宋_GB2312" w:hint="eastAsia"/>
          <w:color w:val="000000"/>
          <w:sz w:val="32"/>
          <w:szCs w:val="32"/>
        </w:rPr>
        <w:t>人；事业编制</w:t>
      </w:r>
      <w:r>
        <w:rPr>
          <w:rFonts w:ascii="仿宋_GB2312" w:eastAsia="仿宋_GB2312" w:hint="eastAsia"/>
          <w:color w:val="000000"/>
          <w:sz w:val="32"/>
          <w:szCs w:val="32"/>
        </w:rPr>
        <w:t>137</w:t>
      </w:r>
      <w:r>
        <w:rPr>
          <w:rFonts w:ascii="仿宋_GB2312" w:eastAsia="仿宋_GB2312" w:hint="eastAsia"/>
          <w:color w:val="000000"/>
          <w:sz w:val="32"/>
          <w:szCs w:val="32"/>
        </w:rPr>
        <w:t>人，实有人数</w:t>
      </w:r>
      <w:r>
        <w:rPr>
          <w:rFonts w:ascii="仿宋_GB2312" w:eastAsia="仿宋_GB2312" w:hint="eastAsia"/>
          <w:color w:val="000000"/>
          <w:sz w:val="32"/>
          <w:szCs w:val="32"/>
        </w:rPr>
        <w:t>128</w:t>
      </w:r>
      <w:r w:rsidR="00FD106D">
        <w:rPr>
          <w:rFonts w:ascii="仿宋_GB2312" w:eastAsia="仿宋_GB2312" w:hint="eastAsia"/>
          <w:color w:val="000000"/>
          <w:sz w:val="32"/>
          <w:szCs w:val="32"/>
        </w:rPr>
        <w:t>人。</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离退休人员</w:t>
      </w:r>
      <w:r>
        <w:rPr>
          <w:rFonts w:ascii="仿宋_GB2312" w:eastAsia="仿宋_GB2312" w:hint="eastAsia"/>
          <w:color w:val="000000"/>
          <w:sz w:val="32"/>
          <w:szCs w:val="32"/>
        </w:rPr>
        <w:t>8</w:t>
      </w:r>
      <w:r>
        <w:rPr>
          <w:rFonts w:ascii="仿宋_GB2312" w:eastAsia="仿宋_GB2312" w:hint="eastAsia"/>
          <w:color w:val="000000"/>
          <w:sz w:val="32"/>
          <w:szCs w:val="32"/>
        </w:rPr>
        <w:t>人，其中：离休</w:t>
      </w:r>
      <w:r>
        <w:rPr>
          <w:rFonts w:ascii="仿宋_GB2312" w:eastAsia="仿宋_GB2312" w:hint="eastAsia"/>
          <w:color w:val="000000"/>
          <w:sz w:val="32"/>
          <w:szCs w:val="32"/>
        </w:rPr>
        <w:t>0</w:t>
      </w:r>
      <w:r>
        <w:rPr>
          <w:rFonts w:ascii="仿宋_GB2312" w:eastAsia="仿宋_GB2312" w:hint="eastAsia"/>
          <w:color w:val="000000"/>
          <w:sz w:val="32"/>
          <w:szCs w:val="32"/>
        </w:rPr>
        <w:t>人，退休</w:t>
      </w:r>
      <w:r>
        <w:rPr>
          <w:rFonts w:ascii="仿宋_GB2312" w:eastAsia="仿宋_GB2312" w:hint="eastAsia"/>
          <w:color w:val="000000"/>
          <w:sz w:val="32"/>
          <w:szCs w:val="32"/>
        </w:rPr>
        <w:t>8</w:t>
      </w:r>
      <w:r>
        <w:rPr>
          <w:rFonts w:ascii="仿宋_GB2312" w:eastAsia="仿宋_GB2312" w:hint="eastAsia"/>
          <w:color w:val="000000"/>
          <w:sz w:val="32"/>
          <w:szCs w:val="32"/>
        </w:rPr>
        <w:t>人。</w:t>
      </w:r>
    </w:p>
    <w:p w:rsidR="003C5FB2" w:rsidRDefault="008E7598">
      <w:pPr>
        <w:spacing w:line="560" w:lineRule="exact"/>
        <w:ind w:firstLineChars="200" w:firstLine="640"/>
        <w:rPr>
          <w:rFonts w:ascii="黑体" w:eastAsia="黑体"/>
          <w:color w:val="000000"/>
          <w:sz w:val="32"/>
          <w:szCs w:val="32"/>
        </w:rPr>
      </w:pPr>
      <w:r>
        <w:rPr>
          <w:rFonts w:ascii="黑体" w:eastAsia="黑体" w:hint="eastAsia"/>
          <w:color w:val="000000"/>
          <w:sz w:val="32"/>
          <w:szCs w:val="32"/>
        </w:rPr>
        <w:lastRenderedPageBreak/>
        <w:t>二、收入</w:t>
      </w:r>
      <w:r>
        <w:rPr>
          <w:rFonts w:ascii="黑体" w:eastAsia="黑体" w:hint="eastAsia"/>
          <w:color w:val="000000"/>
          <w:sz w:val="32"/>
          <w:szCs w:val="32"/>
        </w:rPr>
        <w:t>预算</w:t>
      </w:r>
      <w:r>
        <w:rPr>
          <w:rFonts w:ascii="黑体" w:eastAsia="黑体" w:hint="eastAsia"/>
          <w:color w:val="000000"/>
          <w:sz w:val="32"/>
          <w:szCs w:val="32"/>
        </w:rPr>
        <w:t>情况</w:t>
      </w:r>
      <w:r>
        <w:rPr>
          <w:rFonts w:ascii="黑体" w:eastAsia="黑体" w:hint="eastAsia"/>
          <w:color w:val="000000"/>
          <w:sz w:val="32"/>
          <w:szCs w:val="32"/>
        </w:rPr>
        <w:t>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年度收入预算</w:t>
      </w:r>
      <w:r>
        <w:rPr>
          <w:rFonts w:ascii="仿宋_GB2312" w:eastAsia="仿宋_GB2312" w:hint="eastAsia"/>
          <w:sz w:val="32"/>
          <w:szCs w:val="32"/>
        </w:rPr>
        <w:t>6</w:t>
      </w:r>
      <w:r>
        <w:rPr>
          <w:rFonts w:ascii="仿宋_GB2312" w:eastAsia="仿宋_GB2312" w:hint="eastAsia"/>
          <w:sz w:val="32"/>
          <w:szCs w:val="32"/>
        </w:rPr>
        <w:t>626.33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2022</w:t>
      </w:r>
      <w:r>
        <w:rPr>
          <w:rFonts w:ascii="仿宋_GB2312" w:eastAsia="仿宋_GB2312" w:hint="eastAsia"/>
          <w:sz w:val="32"/>
          <w:szCs w:val="32"/>
        </w:rPr>
        <w:t>年年初预算数</w:t>
      </w:r>
      <w:r>
        <w:rPr>
          <w:rFonts w:ascii="仿宋_GB2312" w:eastAsia="仿宋_GB2312" w:hint="eastAsia"/>
          <w:color w:val="000000"/>
          <w:sz w:val="32"/>
          <w:szCs w:val="32"/>
        </w:rPr>
        <w:t>5</w:t>
      </w:r>
      <w:r>
        <w:rPr>
          <w:rFonts w:ascii="仿宋_GB2312" w:eastAsia="仿宋_GB2312" w:hint="eastAsia"/>
          <w:color w:val="000000"/>
          <w:sz w:val="32"/>
          <w:szCs w:val="32"/>
        </w:rPr>
        <w:t>980.51</w:t>
      </w:r>
      <w:r>
        <w:rPr>
          <w:rFonts w:ascii="仿宋_GB2312" w:eastAsia="仿宋_GB2312" w:hint="eastAsia"/>
          <w:sz w:val="32"/>
          <w:szCs w:val="32"/>
        </w:rPr>
        <w:t>万元增加</w:t>
      </w:r>
      <w:r>
        <w:rPr>
          <w:rFonts w:ascii="仿宋_GB2312" w:eastAsia="仿宋_GB2312" w:hint="eastAsia"/>
          <w:sz w:val="32"/>
          <w:szCs w:val="32"/>
        </w:rPr>
        <w:t>645.82</w:t>
      </w:r>
      <w:r>
        <w:rPr>
          <w:rFonts w:ascii="仿宋_GB2312" w:eastAsia="仿宋_GB2312" w:hint="eastAsia"/>
          <w:sz w:val="32"/>
          <w:szCs w:val="32"/>
        </w:rPr>
        <w:t>万元，增长</w:t>
      </w:r>
      <w:r>
        <w:rPr>
          <w:rFonts w:ascii="仿宋_GB2312" w:eastAsia="仿宋_GB2312" w:hint="eastAsia"/>
          <w:sz w:val="32"/>
          <w:szCs w:val="32"/>
        </w:rPr>
        <w:t>10.80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主要原因</w:t>
      </w:r>
      <w:r>
        <w:rPr>
          <w:rFonts w:ascii="仿宋_GB2312" w:eastAsia="仿宋_GB2312" w:hint="eastAsia"/>
          <w:color w:val="000000"/>
          <w:sz w:val="32"/>
          <w:szCs w:val="32"/>
        </w:rPr>
        <w:t>落实人员正常调资等有关政策</w:t>
      </w:r>
      <w:r>
        <w:rPr>
          <w:rFonts w:ascii="仿宋_GB2312" w:eastAsia="仿宋_GB2312" w:hint="eastAsia"/>
          <w:color w:val="000000"/>
          <w:sz w:val="32"/>
          <w:szCs w:val="32"/>
        </w:rPr>
        <w:t>及</w:t>
      </w:r>
      <w:r>
        <w:rPr>
          <w:rFonts w:ascii="仿宋_GB2312" w:eastAsia="仿宋_GB2312" w:hint="eastAsia"/>
          <w:sz w:val="32"/>
          <w:szCs w:val="32"/>
        </w:rPr>
        <w:t>承担本市地热地质勘查、地热资源调查评价</w:t>
      </w:r>
      <w:r>
        <w:rPr>
          <w:rFonts w:ascii="仿宋_GB2312" w:eastAsia="仿宋_GB2312" w:hint="eastAsia"/>
          <w:sz w:val="32"/>
          <w:szCs w:val="32"/>
        </w:rPr>
        <w:t>等</w:t>
      </w:r>
      <w:r>
        <w:rPr>
          <w:rFonts w:ascii="仿宋_GB2312" w:eastAsia="仿宋_GB2312" w:hint="eastAsia"/>
          <w:sz w:val="32"/>
          <w:szCs w:val="32"/>
        </w:rPr>
        <w:t>项目增加</w:t>
      </w:r>
      <w:r>
        <w:rPr>
          <w:rFonts w:ascii="仿宋_GB2312" w:eastAsia="仿宋_GB2312" w:hint="eastAsia"/>
          <w:sz w:val="32"/>
          <w:szCs w:val="32"/>
        </w:rPr>
        <w:t>。</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（一）</w:t>
      </w:r>
      <w:r>
        <w:rPr>
          <w:rFonts w:ascii="楷体_GB2312" w:eastAsia="楷体_GB2312" w:hint="eastAsia"/>
          <w:sz w:val="32"/>
          <w:szCs w:val="32"/>
        </w:rPr>
        <w:t>本年财政拨款收入</w:t>
      </w:r>
      <w:r>
        <w:rPr>
          <w:rFonts w:ascii="楷体_GB2312" w:eastAsia="楷体_GB2312" w:hint="eastAsia"/>
          <w:sz w:val="32"/>
          <w:szCs w:val="32"/>
        </w:rPr>
        <w:t>5283.35</w:t>
      </w:r>
      <w:r>
        <w:rPr>
          <w:rFonts w:ascii="楷体_GB2312" w:eastAsia="楷体_GB2312" w:hint="eastAsia"/>
          <w:sz w:val="32"/>
          <w:szCs w:val="32"/>
        </w:rPr>
        <w:t>万</w:t>
      </w:r>
      <w:r>
        <w:rPr>
          <w:rFonts w:ascii="楷体_GB2312" w:eastAsia="楷体_GB2312" w:hint="eastAsia"/>
          <w:sz w:val="32"/>
          <w:szCs w:val="32"/>
        </w:rPr>
        <w:t>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一般公共预算拨款收入</w:t>
      </w:r>
      <w:r>
        <w:rPr>
          <w:rFonts w:ascii="仿宋_GB2312" w:eastAsia="仿宋_GB2312" w:hint="eastAsia"/>
          <w:sz w:val="32"/>
          <w:szCs w:val="32"/>
        </w:rPr>
        <w:t>5</w:t>
      </w:r>
      <w:r>
        <w:rPr>
          <w:rFonts w:ascii="仿宋_GB2312" w:eastAsia="仿宋_GB2312" w:hint="eastAsia"/>
          <w:sz w:val="32"/>
          <w:szCs w:val="32"/>
        </w:rPr>
        <w:t>283.35</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政府性基金</w:t>
      </w:r>
      <w:r>
        <w:rPr>
          <w:rFonts w:ascii="仿宋_GB2312" w:eastAsia="仿宋_GB2312" w:hint="eastAsia"/>
          <w:sz w:val="32"/>
          <w:szCs w:val="32"/>
        </w:rPr>
        <w:t>预算拨款收入</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国有资本经营</w:t>
      </w:r>
      <w:r>
        <w:rPr>
          <w:rFonts w:ascii="仿宋_GB2312" w:eastAsia="仿宋_GB2312" w:hint="eastAsia"/>
          <w:sz w:val="32"/>
          <w:szCs w:val="32"/>
        </w:rPr>
        <w:t>预算拨款收入</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二</w:t>
      </w:r>
      <w:r>
        <w:rPr>
          <w:rFonts w:ascii="楷体_GB2312" w:eastAsia="楷体_GB2312" w:hint="eastAsia"/>
          <w:sz w:val="32"/>
          <w:szCs w:val="32"/>
        </w:rPr>
        <w:t>）</w:t>
      </w:r>
      <w:r>
        <w:rPr>
          <w:rFonts w:ascii="楷体_GB2312" w:eastAsia="楷体_GB2312" w:hint="eastAsia"/>
          <w:sz w:val="32"/>
          <w:szCs w:val="32"/>
        </w:rPr>
        <w:t>本年其他资金</w:t>
      </w:r>
      <w:r>
        <w:rPr>
          <w:rFonts w:ascii="楷体_GB2312" w:eastAsia="楷体_GB2312" w:hint="eastAsia"/>
          <w:sz w:val="32"/>
          <w:szCs w:val="32"/>
        </w:rPr>
        <w:t>收入</w:t>
      </w:r>
      <w:r>
        <w:rPr>
          <w:rFonts w:ascii="楷体_GB2312" w:eastAsia="楷体_GB2312" w:hint="eastAsia"/>
          <w:sz w:val="32"/>
          <w:szCs w:val="32"/>
        </w:rPr>
        <w:t>1</w:t>
      </w:r>
      <w:r>
        <w:rPr>
          <w:rFonts w:ascii="楷体_GB2312" w:eastAsia="楷体_GB2312" w:hint="eastAsia"/>
          <w:sz w:val="32"/>
          <w:szCs w:val="32"/>
        </w:rPr>
        <w:t>292.59</w:t>
      </w:r>
      <w:r>
        <w:rPr>
          <w:rFonts w:ascii="楷体_GB2312" w:eastAsia="楷体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财政专户管理资金收入</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事业收入</w:t>
      </w:r>
      <w:r>
        <w:rPr>
          <w:rFonts w:ascii="仿宋_GB2312" w:eastAsia="仿宋_GB2312" w:hint="eastAsia"/>
          <w:sz w:val="32"/>
          <w:szCs w:val="32"/>
        </w:rPr>
        <w:t>1</w:t>
      </w:r>
      <w:r>
        <w:rPr>
          <w:rFonts w:ascii="仿宋_GB2312" w:eastAsia="仿宋_GB2312" w:hint="eastAsia"/>
          <w:sz w:val="32"/>
          <w:szCs w:val="32"/>
        </w:rPr>
        <w:t>272.59</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上级补助收入</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附属单位上缴收入</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事业单位经营收入</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其他收入</w:t>
      </w:r>
      <w:r>
        <w:rPr>
          <w:rFonts w:ascii="仿宋_GB2312" w:eastAsia="仿宋_GB2312" w:hint="eastAsia"/>
          <w:sz w:val="32"/>
          <w:szCs w:val="32"/>
        </w:rPr>
        <w:t>2</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w:t>
      </w:r>
      <w:r>
        <w:rPr>
          <w:rFonts w:ascii="楷体_GB2312" w:eastAsia="楷体_GB2312" w:hint="eastAsia"/>
          <w:sz w:val="32"/>
          <w:szCs w:val="32"/>
        </w:rPr>
        <w:t>三</w:t>
      </w:r>
      <w:r>
        <w:rPr>
          <w:rFonts w:ascii="楷体_GB2312" w:eastAsia="楷体_GB2312" w:hint="eastAsia"/>
          <w:sz w:val="32"/>
          <w:szCs w:val="32"/>
        </w:rPr>
        <w:t>）</w:t>
      </w:r>
      <w:r>
        <w:rPr>
          <w:rFonts w:ascii="楷体_GB2312" w:eastAsia="楷体_GB2312" w:hint="eastAsia"/>
          <w:sz w:val="32"/>
          <w:szCs w:val="32"/>
        </w:rPr>
        <w:t>上年结转结余</w:t>
      </w:r>
      <w:r>
        <w:rPr>
          <w:rFonts w:ascii="楷体_GB2312" w:eastAsia="楷体_GB2312" w:hint="eastAsia"/>
          <w:sz w:val="32"/>
          <w:szCs w:val="32"/>
        </w:rPr>
        <w:t>5</w:t>
      </w:r>
      <w:r>
        <w:rPr>
          <w:rFonts w:ascii="楷体_GB2312" w:eastAsia="楷体_GB2312" w:hint="eastAsia"/>
          <w:sz w:val="32"/>
          <w:szCs w:val="32"/>
        </w:rPr>
        <w:t>0.39</w:t>
      </w:r>
      <w:r>
        <w:rPr>
          <w:rFonts w:ascii="楷体_GB2312" w:eastAsia="楷体_GB2312" w:hint="eastAsia"/>
          <w:sz w:val="32"/>
          <w:szCs w:val="32"/>
        </w:rPr>
        <w:t>万元</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hint="eastAsia"/>
          <w:sz w:val="32"/>
          <w:szCs w:val="32"/>
        </w:rPr>
        <w:t>上年结转结余</w:t>
      </w:r>
      <w:r>
        <w:rPr>
          <w:rFonts w:ascii="仿宋_GB2312" w:eastAsia="仿宋_GB2312" w:hint="eastAsia"/>
          <w:sz w:val="32"/>
          <w:szCs w:val="32"/>
        </w:rPr>
        <w:t>5</w:t>
      </w:r>
      <w:r>
        <w:rPr>
          <w:rFonts w:ascii="仿宋_GB2312" w:eastAsia="仿宋_GB2312" w:hint="eastAsia"/>
          <w:sz w:val="32"/>
          <w:szCs w:val="32"/>
        </w:rPr>
        <w:t>0.39</w:t>
      </w:r>
      <w:r>
        <w:rPr>
          <w:rFonts w:ascii="仿宋_GB2312" w:eastAsia="仿宋_GB2312" w:hint="eastAsia"/>
          <w:sz w:val="32"/>
          <w:szCs w:val="32"/>
        </w:rPr>
        <w:t>万元。</w:t>
      </w:r>
    </w:p>
    <w:p w:rsidR="003C5FB2" w:rsidRDefault="008E7598">
      <w:pPr>
        <w:pStyle w:val="2"/>
        <w:jc w:val="center"/>
        <w:rPr>
          <w:rFonts w:ascii="仿宋_GB2312" w:eastAsia="仿宋_GB2312"/>
          <w:b w:val="0"/>
          <w:bCs w:val="0"/>
          <w:color w:val="000000" w:themeColor="text1"/>
          <w:sz w:val="32"/>
        </w:rPr>
      </w:pPr>
      <w:r>
        <w:rPr>
          <w:rFonts w:ascii="仿宋_GB2312" w:eastAsia="仿宋_GB2312" w:hint="eastAsia"/>
          <w:color w:val="000000" w:themeColor="text1"/>
          <w:sz w:val="32"/>
        </w:rPr>
        <w:lastRenderedPageBreak/>
        <w:t>图</w:t>
      </w:r>
      <w:r>
        <w:rPr>
          <w:rFonts w:ascii="仿宋_GB2312" w:eastAsia="仿宋_GB2312" w:hint="eastAsia"/>
          <w:color w:val="000000" w:themeColor="text1"/>
          <w:sz w:val="32"/>
        </w:rPr>
        <w:t>1</w:t>
      </w:r>
      <w:r>
        <w:rPr>
          <w:rFonts w:ascii="仿宋_GB2312" w:eastAsia="仿宋_GB2312" w:hint="eastAsia"/>
          <w:color w:val="000000" w:themeColor="text1"/>
          <w:sz w:val="32"/>
        </w:rPr>
        <w:t>：收入预算</w:t>
      </w:r>
    </w:p>
    <w:p w:rsidR="003C5FB2" w:rsidRDefault="008E7598">
      <w:pPr>
        <w:pStyle w:val="2"/>
        <w:jc w:val="center"/>
      </w:pPr>
      <w:r>
        <w:rPr>
          <w:noProof/>
        </w:rPr>
        <mc:AlternateContent>
          <mc:Choice Requires="wps">
            <w:drawing>
              <wp:anchor distT="0" distB="0" distL="114300" distR="114300" simplePos="0" relativeHeight="251662336" behindDoc="0" locked="0" layoutInCell="1" allowOverlap="1">
                <wp:simplePos x="0" y="0"/>
                <wp:positionH relativeFrom="column">
                  <wp:posOffset>1562735</wp:posOffset>
                </wp:positionH>
                <wp:positionV relativeFrom="paragraph">
                  <wp:posOffset>39370</wp:posOffset>
                </wp:positionV>
                <wp:extent cx="2561590" cy="447675"/>
                <wp:effectExtent l="4445" t="4445" r="5715" b="5080"/>
                <wp:wrapNone/>
                <wp:docPr id="4" name="文本框 4"/>
                <wp:cNvGraphicFramePr/>
                <a:graphic xmlns:a="http://schemas.openxmlformats.org/drawingml/2006/main">
                  <a:graphicData uri="http://schemas.microsoft.com/office/word/2010/wordprocessingShape">
                    <wps:wsp>
                      <wps:cNvSpPr txBox="1"/>
                      <wps:spPr>
                        <a:xfrm>
                          <a:off x="2905760" y="1680210"/>
                          <a:ext cx="2561590" cy="44767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rsidR="003C5FB2" w:rsidRDefault="008E7598">
                            <w:pPr>
                              <w:jc w:val="center"/>
                              <w:rPr>
                                <w:rFonts w:ascii="仿宋" w:eastAsia="仿宋" w:hAnsi="仿宋" w:cs="仿宋"/>
                                <w:sz w:val="28"/>
                                <w:szCs w:val="28"/>
                              </w:rPr>
                            </w:pPr>
                            <w:r>
                              <w:rPr>
                                <w:rFonts w:ascii="仿宋" w:eastAsia="仿宋" w:hAnsi="仿宋" w:cs="仿宋" w:hint="eastAsia"/>
                                <w:sz w:val="28"/>
                                <w:szCs w:val="28"/>
                              </w:rPr>
                              <w:t>收入预算</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123.05pt;margin-top:3.1pt;height:35.25pt;width:201.7pt;z-index:251662336;mso-width-relative:page;mso-height-relative:page;" fillcolor="#FFFFFF [3201]" filled="t" stroked="t" coordsize="21600,21600" o:gfxdata="UEsDBAoAAAAAAIdO4kAAAAAAAAAAAAAAAAAEAAAAZHJzL1BLAwQUAAAACACHTuJAfAhzftgAAAAI&#10;AQAADwAAAGRycy9kb3ducmV2LnhtbE2PT0+DQBTE7yZ+h80z8WYXSEsRefRg4s2YUOuf45Z9BSL7&#10;lrIL1G/vetLjZCYzvyl2F9OLmUbXWUaIVxEI4trqjhuEw+vTXQbCecVa9ZYJ4Zsc7Mrrq0Ll2i5c&#10;0bz3jQgl7HKF0Ho/5FK6uiWj3MoOxME72dEoH+TYSD2qJZSbXiZRlEqjOg4LrRrosaX6az8ZhJd5&#10;sm/N+6b+4M+lctnpXD1nZ8Tbmzh6AOHp4v/C8Isf0KEMTEc7sXaiR0jWaRyiCGkCIvjp+n4D4oiw&#10;Tbcgy0L+P1D+AFBLAwQUAAAACACHTuJA1mT1DlwCAADEBAAADgAAAGRycy9lMm9Eb2MueG1srVTN&#10;btswDL4P2DsIuq92MidpgzpF1iLDgGItkA07K7IcC5BETVJidw+wvUFPu+y+5+pzjJKd/m2HHpaD&#10;QokfPpIfSZ+edVqRvXBeginp6CinRBgOlTTbkn7+tHpzTIkPzFRMgRElvRGeni1evzpt7VyMoQFV&#10;CUeQxPh5a0vahGDnWeZ5IzTzR2CFQWcNTrOAV7fNKsdaZNcqG+f5NGvBVdYBF97j60XvpAOjewkh&#10;1LXk4gL4TgsTelYnFAtYkm+k9XSRsq1rwcNVXXsRiCopVhrSiUHQ3sQzW5yy+dYx20g+pMBeksKz&#10;mjSTBoPeU12wwMjOyb+otOQOPNThiIPO+kKSIljFKH+mzbphVqRaUGpv70X3/4+Wf9xfOyKrkhaU&#10;GKax4Xe3P+5+/r779Z0UUZ7W+jmi1hZxoXsHHQ7N4d3jY6y6q52O/1gPQf/4JJ/MpijxDWKnx/l4&#10;NAgtukB4BEymo8kJAjgiimI2nU0iZfbAZJ0P7wVoEo2SOmxk0pftL33ooQdIDOxByWollUoXt92c&#10;K0f2DJu+Sr+B/QlMGdKWdPp2kifmJz7/EgpMVxnMOirUKxGt0G26QbYNVDeomoN+7LzlK4nlXDIf&#10;rpnDOUMFcBPDFR61AswGBouSBty3f71HPLYfvZS0OLcl9V93zAlK1AeDg3EyKgqkDelSTGZjvLjH&#10;ns1jj9npc0CVRrjzlicz4oM6mLUD/QUXdhmjoosZjrFLGg7meei3CReei+UygXC0LQuXZm15pI49&#10;MbDcBahl6l2UqddmUA+HO3V/WMS4PY/vCfXw8Vn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HwI&#10;c37YAAAACAEAAA8AAAAAAAAAAQAgAAAAIgAAAGRycy9kb3ducmV2LnhtbFBLAQIUABQAAAAIAIdO&#10;4kDWZPUOXAIAAMQEAAAOAAAAAAAAAAEAIAAAACcBAABkcnMvZTJvRG9jLnhtbFBLBQYAAAAABgAG&#10;AFkBAAD1BQAAAAA=&#10;">
                <v:fill on="t" focussize="0,0"/>
                <v:stroke weight="0.5pt" color="#FFFFFF [3212]" joinstyle="round"/>
                <v:imagedata o:title=""/>
                <o:lock v:ext="edit" aspectratio="f"/>
                <v:textbox>
                  <w:txbxContent>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收入预算</w:t>
                      </w:r>
                    </w:p>
                  </w:txbxContent>
                </v:textbox>
              </v:shape>
            </w:pict>
          </mc:Fallback>
        </mc:AlternateContent>
      </w:r>
      <w:r>
        <w:rPr>
          <w:noProof/>
        </w:rPr>
        <w:drawing>
          <wp:inline distT="0" distB="0" distL="114300" distR="114300">
            <wp:extent cx="4968271" cy="3324225"/>
            <wp:effectExtent l="0" t="0" r="22860" b="9525"/>
            <wp:docPr id="3" name="图表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noProof/>
          <w:sz w:val="32"/>
        </w:rPr>
        <mc:AlternateContent>
          <mc:Choice Requires="wps">
            <w:drawing>
              <wp:anchor distT="0" distB="0" distL="114300" distR="114300" simplePos="0" relativeHeight="251659264" behindDoc="0" locked="0" layoutInCell="1" allowOverlap="1">
                <wp:simplePos x="0" y="0"/>
                <wp:positionH relativeFrom="column">
                  <wp:posOffset>9349105</wp:posOffset>
                </wp:positionH>
                <wp:positionV relativeFrom="paragraph">
                  <wp:posOffset>1730375</wp:posOffset>
                </wp:positionV>
                <wp:extent cx="3732530" cy="412115"/>
                <wp:effectExtent l="0" t="0" r="1270" b="6985"/>
                <wp:wrapNone/>
                <wp:docPr id="14" name="文本框 14"/>
                <wp:cNvGraphicFramePr/>
                <a:graphic xmlns:a="http://schemas.openxmlformats.org/drawingml/2006/main">
                  <a:graphicData uri="http://schemas.microsoft.com/office/word/2010/wordprocessingShape">
                    <wps:wsp>
                      <wps:cNvSpPr txBox="1"/>
                      <wps:spPr>
                        <a:xfrm>
                          <a:off x="0" y="0"/>
                          <a:ext cx="3732530" cy="4121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C5FB2" w:rsidRDefault="008E7598">
                            <w:pPr>
                              <w:rPr>
                                <w:rFonts w:ascii="仿宋" w:eastAsia="仿宋" w:hAnsi="仿宋" w:cs="仿宋"/>
                                <w:sz w:val="28"/>
                                <w:szCs w:val="28"/>
                              </w:rPr>
                            </w:pPr>
                            <w:r>
                              <w:rPr>
                                <w:rFonts w:ascii="仿宋" w:eastAsia="仿宋" w:hAnsi="仿宋" w:cs="仿宋" w:hint="eastAsia"/>
                                <w:sz w:val="28"/>
                                <w:szCs w:val="28"/>
                              </w:rPr>
                              <w:t>收入对比分析图</w:t>
                            </w:r>
                            <w:r>
                              <w:rPr>
                                <w:rFonts w:ascii="仿宋" w:eastAsia="仿宋" w:hAnsi="仿宋" w:cs="仿宋" w:hint="eastAsia"/>
                                <w:sz w:val="28"/>
                                <w:szCs w:val="28"/>
                              </w:rPr>
                              <w:t xml:space="preserve">         </w:t>
                            </w:r>
                            <w:r>
                              <w:rPr>
                                <w:rFonts w:ascii="仿宋" w:eastAsia="仿宋" w:hAnsi="仿宋" w:cs="仿宋" w:hint="eastAsia"/>
                                <w:sz w:val="18"/>
                                <w:szCs w:val="18"/>
                              </w:rPr>
                              <w:t>金额单位：万元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736.15pt;margin-top:136.25pt;height:32.45pt;width:293.9pt;z-index:251659264;mso-width-relative:page;mso-height-relative:page;" fillcolor="#FFFFFF [3201]" filled="t" stroked="f" coordsize="21600,21600" o:gfxdata="UEsDBAoAAAAAAIdO4kAAAAAAAAAAAAAAAAAEAAAAZHJzL1BLAwQUAAAACACHTuJAUMRma9cAAAAN&#10;AQAADwAAAGRycy9kb3ducmV2LnhtbE2Pu07EMBBFeyT+wRokOtbOgw0KcbZAokViX7U3NnGEPY5s&#10;7/PrGSoor+bo3jPd6uIdO5mYpoASioUAZnAIesJRwnbz/vQCLGWFWrmARsLVJFj193edanU446c5&#10;rfPIqARTqyTYnOeW8zRY41VahNkg3b5C9CpTjCPXUZ2p3DteCrHkXk1IC1bN5s2a4Xt99BL2o7/t&#10;d8Ucrfauxo/bdbMNk5SPD4V4BZbNJf/B8KtP6tCT0yEcUSfmKNdNWREroWzKZ2CElGIpCmAHCVXV&#10;1MD7jv//ov8BUEsDBBQAAAAIAIdO4kBQaJbXUAIAAJEEAAAOAAAAZHJzL2Uyb0RvYy54bWytVM1u&#10;EzEQviPxDpbvZLP5aSHqpgqtgpAqWikgzo7Xm7Vke4ztZDc8ALxBT1y481x5DsbeTRsKhx7IYTOe&#10;mf3G3zcze3HZakV2wnkJpqD5YEiJMBxKaTYF/fRx+eo1JT4wUzIFRhR0Lzy9nL98cdHYmRhBDaoU&#10;jiCI8bPGFrQOwc6yzPNaaOYHYIXBYAVOs4BHt8lKxxpE1yobDYdnWQOutA648B69112Q9ojuOYBQ&#10;VZKLa+BbLUzoUJ1QLCAlX0vr6TzdtqoED7dV5UUgqqDINKQnFkF7HZ/Z/ILNNo7ZWvL+Cuw5V3jC&#10;STNpsOgD1DULjGyd/AtKS+7AQxUGHHTWEUmKIIt8+ESbVc2sSFxQam8fRPf/D5Z/2N05IkuchAkl&#10;hmns+OH+++HHr8PPbwR9KFBj/QzzVhYzQ/sWWkw++j06I++2cjr+IyOCcZR3/yCvaAPh6Byfj0fT&#10;MYY4xib5KM+nESZ7fNs6H94J0CQaBXXYvqQq29340KUeU2IxD0qWS6lUOrjN+ko5smPY6mX69eh/&#10;pClDmoKejafDhGwgvt9BK4OXiWQ7UtEK7brtFVhDuUcBHHQz5C1fSrzlDfPhjjkcGiSGaxVu8VEp&#10;wCLQW5TU4L7+yx/zsZcYpaTBISyo/7JlTlCi3hvs8pt8MkHYkA6T6fkID+40sj6NmK2+AiSf4wJb&#10;nsyYH9TRrBzoz7h9i1gVQ8xwrF3QcDSvQrcauL1cLBYpCefUsnBjVpZH6Ci1gcU2QCVTS6JMnTa9&#10;ejipqan9VsVVOD2nrMcvyfw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UMRma9cAAAANAQAADwAA&#10;AAAAAAABACAAAAAiAAAAZHJzL2Rvd25yZXYueG1sUEsBAhQAFAAAAAgAh07iQFBoltdQAgAAkQQA&#10;AA4AAAAAAAAAAQAgAAAAJgEAAGRycy9lMm9Eb2MueG1sUEsFBgAAAAAGAAYAWQEAAOgFAAAAAA==&#10;">
                <v:fill on="t" focussize="0,0"/>
                <v:stroke on="f" weight="0.5pt"/>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 xml:space="preserve">收入对比分析图         </w:t>
                      </w:r>
                      <w:r>
                        <w:rPr>
                          <w:rFonts w:hint="eastAsia" w:ascii="仿宋" w:hAnsi="仿宋" w:eastAsia="仿宋" w:cs="仿宋"/>
                          <w:sz w:val="18"/>
                          <w:szCs w:val="18"/>
                        </w:rPr>
                        <w:t>金额单位：万元</w:t>
                      </w:r>
                    </w:p>
                  </w:txbxContent>
                </v:textbox>
              </v:shape>
            </w:pict>
          </mc:Fallback>
        </mc:AlternateContent>
      </w:r>
      <w:r>
        <w:rPr>
          <w:noProof/>
          <w:sz w:val="32"/>
        </w:rPr>
        <mc:AlternateContent>
          <mc:Choice Requires="wps">
            <w:drawing>
              <wp:anchor distT="0" distB="0" distL="114300" distR="114300" simplePos="0" relativeHeight="251660288" behindDoc="0" locked="0" layoutInCell="1" allowOverlap="1">
                <wp:simplePos x="0" y="0"/>
                <wp:positionH relativeFrom="column">
                  <wp:posOffset>9501505</wp:posOffset>
                </wp:positionH>
                <wp:positionV relativeFrom="paragraph">
                  <wp:posOffset>1882775</wp:posOffset>
                </wp:positionV>
                <wp:extent cx="3732530" cy="412115"/>
                <wp:effectExtent l="0" t="0" r="1270" b="6985"/>
                <wp:wrapNone/>
                <wp:docPr id="5" name="文本框 5"/>
                <wp:cNvGraphicFramePr/>
                <a:graphic xmlns:a="http://schemas.openxmlformats.org/drawingml/2006/main">
                  <a:graphicData uri="http://schemas.microsoft.com/office/word/2010/wordprocessingShape">
                    <wps:wsp>
                      <wps:cNvSpPr txBox="1"/>
                      <wps:spPr>
                        <a:xfrm>
                          <a:off x="0" y="0"/>
                          <a:ext cx="3732530" cy="4121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C5FB2" w:rsidRDefault="008E7598">
                            <w:pPr>
                              <w:rPr>
                                <w:rFonts w:ascii="仿宋" w:eastAsia="仿宋" w:hAnsi="仿宋" w:cs="仿宋"/>
                                <w:sz w:val="28"/>
                                <w:szCs w:val="28"/>
                              </w:rPr>
                            </w:pPr>
                            <w:r>
                              <w:rPr>
                                <w:rFonts w:ascii="仿宋" w:eastAsia="仿宋" w:hAnsi="仿宋" w:cs="仿宋" w:hint="eastAsia"/>
                                <w:sz w:val="28"/>
                                <w:szCs w:val="28"/>
                              </w:rPr>
                              <w:t>收入对比分析图</w:t>
                            </w:r>
                            <w:r>
                              <w:rPr>
                                <w:rFonts w:ascii="仿宋" w:eastAsia="仿宋" w:hAnsi="仿宋" w:cs="仿宋" w:hint="eastAsia"/>
                                <w:sz w:val="28"/>
                                <w:szCs w:val="28"/>
                              </w:rPr>
                              <w:t xml:space="preserve">         </w:t>
                            </w:r>
                            <w:r>
                              <w:rPr>
                                <w:rFonts w:ascii="仿宋" w:eastAsia="仿宋" w:hAnsi="仿宋" w:cs="仿宋" w:hint="eastAsia"/>
                                <w:sz w:val="18"/>
                                <w:szCs w:val="18"/>
                              </w:rPr>
                              <w:t>金额单位：万元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748.15pt;margin-top:148.25pt;height:32.45pt;width:293.9pt;z-index:251660288;mso-width-relative:page;mso-height-relative:page;" fillcolor="#FFFFFF [3201]" filled="t" stroked="f" coordsize="21600,21600" o:gfxdata="UEsDBAoAAAAAAIdO4kAAAAAAAAAAAAAAAAAEAAAAZHJzL1BLAwQUAAAACACHTuJAzBBxiNgAAAAN&#10;AQAADwAAAGRycy9kb3ducmV2LnhtbE2Py07DMBBF90j8gzVI7KjtNERtiNMFElukPujajU0SYY8j&#10;231+fYcVLK/m6N4zzeriHTvZmMaACuRMALPYBTNir2C3/XhZAEtZo9EuoFVwtQlW7eNDo2sTzri2&#10;p03uGZVgqrWCIeep5jx1g/U6zcJkkW7fIXqdKcaem6jPVO4dL4SouNcj0sKgJ/s+2O5nc/QK9r2/&#10;7b/kFAfjXYmft+t2F0alnp+keAOW7SX/wfCrT+rQktMhHNEk5iiXy2pOrIJiWb0CI6QQi1ICOyiY&#10;V7IE3jb8/xftHVBLAwQUAAAACACHTuJAhtTxxFECAACPBAAADgAAAGRycy9lMm9Eb2MueG1srVTN&#10;bhMxEL4j8Q6W72Sz+WkhyqYKrYKQKlqpIM6O15u1ZHuM7WQ3PAC8QU9cuPNceQ7G3k1aCoceyMEZ&#10;e8bfzPd5ZucXrVZkJ5yXYAqaD4aUCMOhlGZT0E8fV69eU+IDMyVTYERB98LTi8XLF/PGzsQIalCl&#10;cARBjJ81tqB1CHaWZZ7XQjM/ACsMOitwmgXcuk1WOtYgulbZaDg8yxpwpXXAhfd4etU5aY/ongMI&#10;VSW5uAK+1cKEDtUJxQJS8rW0ni5StVUleLipKi8CUQVFpiGtmATtdVyzxZzNNo7ZWvK+BPacEp5w&#10;0kwaTHqCumKBka2Tf0FpyR14qMKAg846IkkRZJEPn2hzVzMrEheU2tuT6P7/wfIPu1tHZFnQKSWG&#10;aXzww/33w49fh5/fyDTK01g/w6g7i3GhfQstNs3x3ONhZN1WTsd/5EPQj+LuT+KKNhCOh+Pz8Wg6&#10;RhdH3yQf5XmCzx5uW+fDOwGaRKOgDh8vacp21z5gJRh6DInJPChZrqRSaeM260vlyI7hQ6/SLxaJ&#10;V/4IU4Y0BT0bT4cJ2UC838Upg+GRbEcqWqFdt70Cayj3KICDroO85SuJVV4zH26Zw5ZBYjhU4QaX&#10;SgEmgd6ipAb39V/nMR5fEr2UNNiCBfVftswJStR7g2/8Jp9MEDakzWR6PsKNe+xZP/aYrb4EJJ/j&#10;+FqezBgf1NGsHOjPOHvLmBVdzHDMXdBwNC9DNxg4u1wslykIu9SycG3uLI/QUWoDy22ASqYniTJ1&#10;2vTqYZ8m2fuZioPweJ+iHr4ji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MEHGI2AAAAA0BAAAP&#10;AAAAAAAAAAEAIAAAACIAAABkcnMvZG93bnJldi54bWxQSwECFAAUAAAACACHTuJAhtTxxFECAACP&#10;BAAADgAAAAAAAAABACAAAAAnAQAAZHJzL2Uyb0RvYy54bWxQSwUGAAAAAAYABgBZAQAA6gUAAAAA&#10;">
                <v:fill on="t" focussize="0,0"/>
                <v:stroke on="f" weight="0.5pt"/>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 xml:space="preserve">收入对比分析图         </w:t>
                      </w:r>
                      <w:r>
                        <w:rPr>
                          <w:rFonts w:hint="eastAsia" w:ascii="仿宋" w:hAnsi="仿宋" w:eastAsia="仿宋" w:cs="仿宋"/>
                          <w:sz w:val="18"/>
                          <w:szCs w:val="18"/>
                        </w:rPr>
                        <w:t>金额单位：万元</w:t>
                      </w:r>
                    </w:p>
                  </w:txbxContent>
                </v:textbox>
              </v:shape>
            </w:pict>
          </mc:Fallback>
        </mc:AlternateContent>
      </w:r>
      <w:r>
        <w:rPr>
          <w:noProof/>
          <w:sz w:val="32"/>
        </w:rPr>
        <mc:AlternateContent>
          <mc:Choice Requires="wps">
            <w:drawing>
              <wp:anchor distT="0" distB="0" distL="114300" distR="114300" simplePos="0" relativeHeight="251661312" behindDoc="0" locked="0" layoutInCell="1" allowOverlap="1">
                <wp:simplePos x="0" y="0"/>
                <wp:positionH relativeFrom="column">
                  <wp:posOffset>9653905</wp:posOffset>
                </wp:positionH>
                <wp:positionV relativeFrom="paragraph">
                  <wp:posOffset>2035175</wp:posOffset>
                </wp:positionV>
                <wp:extent cx="3732530" cy="412115"/>
                <wp:effectExtent l="0" t="0" r="1270" b="6985"/>
                <wp:wrapNone/>
                <wp:docPr id="6" name="文本框 6"/>
                <wp:cNvGraphicFramePr/>
                <a:graphic xmlns:a="http://schemas.openxmlformats.org/drawingml/2006/main">
                  <a:graphicData uri="http://schemas.microsoft.com/office/word/2010/wordprocessingShape">
                    <wps:wsp>
                      <wps:cNvSpPr txBox="1"/>
                      <wps:spPr>
                        <a:xfrm>
                          <a:off x="0" y="0"/>
                          <a:ext cx="3732530" cy="41211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sidR="003C5FB2" w:rsidRDefault="008E7598">
                            <w:pPr>
                              <w:rPr>
                                <w:rFonts w:ascii="仿宋" w:eastAsia="仿宋" w:hAnsi="仿宋" w:cs="仿宋"/>
                                <w:sz w:val="28"/>
                                <w:szCs w:val="28"/>
                              </w:rPr>
                            </w:pPr>
                            <w:r>
                              <w:rPr>
                                <w:rFonts w:ascii="仿宋" w:eastAsia="仿宋" w:hAnsi="仿宋" w:cs="仿宋" w:hint="eastAsia"/>
                                <w:sz w:val="28"/>
                                <w:szCs w:val="28"/>
                              </w:rPr>
                              <w:t>收入对比分析图</w:t>
                            </w:r>
                            <w:r>
                              <w:rPr>
                                <w:rFonts w:ascii="仿宋" w:eastAsia="仿宋" w:hAnsi="仿宋" w:cs="仿宋" w:hint="eastAsia"/>
                                <w:sz w:val="28"/>
                                <w:szCs w:val="28"/>
                              </w:rPr>
                              <w:t xml:space="preserve">         </w:t>
                            </w:r>
                            <w:r>
                              <w:rPr>
                                <w:rFonts w:ascii="仿宋" w:eastAsia="仿宋" w:hAnsi="仿宋" w:cs="仿宋" w:hint="eastAsia"/>
                                <w:sz w:val="18"/>
                                <w:szCs w:val="18"/>
                              </w:rPr>
                              <w:t>金额单位：万元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xmlns:w15="http://schemas.microsoft.com/office/word/2012/wordml">
            <w:pict>
              <v:shape id="_x0000_s1026" o:spid="_x0000_s1026" o:spt="202" type="#_x0000_t202" style="position:absolute;left:0pt;margin-left:760.15pt;margin-top:160.25pt;height:32.45pt;width:293.9pt;z-index:251661312;mso-width-relative:page;mso-height-relative:page;" fillcolor="#FFFFFF [3201]" filled="t" stroked="f" coordsize="21600,21600" o:gfxdata="UEsDBAoAAAAAAIdO4kAAAAAAAAAAAAAAAAAEAAAAZHJzL1BLAwQUAAAACACHTuJAtFEE/NcAAAAN&#10;AQAADwAAAGRycy9kb3ducmV2LnhtbE2Py07DMBBF90j8gzVI7KjttEFRiNMFElsk2tK1G5s4wh5H&#10;tvv8eoYVLO/M0Z0z3foSPDvZlKeICuRCALM4RDPhqGC3fXtqgOWi0Wgf0Sq42gzr/v6u062JZ/yw&#10;p00ZGZVgbrUCV8rccp4HZ4POizhbpN1XTEEXimnkJukzlQfPKyGeedAT0gWnZ/vq7PC9OQYF+zHc&#10;9p9yTs4Ev8L323W7i5NSjw9SvAAr9lL+YPjVJ3XoyekQj2gy85TrSiyJVbCsRA2MkEqKRgI70Kip&#10;V8D7jv//ov8BUEsDBBQAAAAIAIdO4kC3gd5aTwIAAI8EAAAOAAAAZHJzL2Uyb0RvYy54bWytVM2O&#10;0zAQviPxDpbvNE3/FqpNV2VXRUgrdqWCOLuO01iyPcZ2mywPAG+wJy7cea4+B2Mn3S0Lhz2QgzP2&#10;TL7x981Mzi9archeOC/BFDQfDCkRhkMpzbagnz6uXr2mxAdmSqbAiILeCU8vFi9fnDd2LkZQgyqF&#10;Iwhi/LyxBa1DsPMs87wWmvkBWGHQWYHTLODWbbPSsQbRtcpGw+Esa8CV1gEX3uPpVeekPaJ7DiBU&#10;leTiCvhOCxM6VCcUC0jJ19J6uki3rSrBw01VeRGIKigyDWnFJGhv4potztl865itJe+vwJ5zhSec&#10;NJMGkz5AXbHAyM7Jv6C05A48VGHAQWcdkaQIssiHT7RZ18yKxAWl9vZBdP//YPmH/a0jsizojBLD&#10;NBb8cP/98OPX4ec3MovyNNbPMWptMS60b6HFpjmeezyMrNvK6fhGPgT9KO7dg7iiDYTj4fhsPJqO&#10;0cXRN8lHeT6NMNnj19b58E6AJtEoqMPiJU3Z/tqHLvQYEpN5ULJcSaXSxm03l8qRPcNCr9LTo/8R&#10;pgxpkOp4OkzIBuL3HbQyeJlItiMVrdBu2l6BDZR3KICDroO85SuJt7xmPtwyhy2DxHCowg0ulQJM&#10;Ar1FSQ3u67/OYzxWEr2UNNiCBfVfdswJStR7gzV+k08mCBvSZjI9G+HGnXo2px6z05eA5HMcX8uT&#10;GeODOpqVA/0ZZ28Zs6KLGY65CxqO5mXoBgNnl4vlMgVhl1oWrs3a8ggdpTaw3AWoZCpJlKnTplcP&#10;+zQVtZ+pOAin+xT1+B9Z/AZ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0UQT81wAAAA0BAAAPAAAA&#10;AAAAAAEAIAAAACIAAABkcnMvZG93bnJldi54bWxQSwECFAAUAAAACACHTuJAt4HeWk8CAACPBAAA&#10;DgAAAAAAAAABACAAAAAmAQAAZHJzL2Uyb0RvYy54bWxQSwUGAAAAAAYABgBZAQAA5wUAAAAA&#10;">
                <v:fill on="t" focussize="0,0"/>
                <v:stroke on="f" weight="0.5pt"/>
                <v:imagedata o:title=""/>
                <o:lock v:ext="edit" aspectratio="f"/>
                <v:textbox>
                  <w:txbxContent>
                    <w:p>
                      <w:pPr>
                        <w:rPr>
                          <w:rFonts w:ascii="仿宋" w:hAnsi="仿宋" w:eastAsia="仿宋" w:cs="仿宋"/>
                          <w:sz w:val="28"/>
                          <w:szCs w:val="28"/>
                        </w:rPr>
                      </w:pPr>
                      <w:r>
                        <w:rPr>
                          <w:rFonts w:hint="eastAsia" w:ascii="仿宋" w:hAnsi="仿宋" w:eastAsia="仿宋" w:cs="仿宋"/>
                          <w:sz w:val="28"/>
                          <w:szCs w:val="28"/>
                        </w:rPr>
                        <w:t xml:space="preserve">收入对比分析图         </w:t>
                      </w:r>
                      <w:r>
                        <w:rPr>
                          <w:rFonts w:hint="eastAsia" w:ascii="仿宋" w:hAnsi="仿宋" w:eastAsia="仿宋" w:cs="仿宋"/>
                          <w:sz w:val="18"/>
                          <w:szCs w:val="18"/>
                        </w:rPr>
                        <w:t>金额单位：万元</w:t>
                      </w:r>
                    </w:p>
                  </w:txbxContent>
                </v:textbox>
              </v:shape>
            </w:pict>
          </mc:Fallback>
        </mc:AlternateContent>
      </w:r>
    </w:p>
    <w:p w:rsidR="003C5FB2" w:rsidRDefault="008E7598">
      <w:pPr>
        <w:spacing w:line="560" w:lineRule="exact"/>
        <w:ind w:firstLineChars="200" w:firstLine="640"/>
        <w:rPr>
          <w:rFonts w:ascii="黑体" w:eastAsia="黑体"/>
          <w:sz w:val="32"/>
          <w:szCs w:val="32"/>
        </w:rPr>
      </w:pPr>
      <w:r>
        <w:rPr>
          <w:rFonts w:ascii="黑体" w:eastAsia="黑体" w:hint="eastAsia"/>
          <w:sz w:val="32"/>
          <w:szCs w:val="32"/>
        </w:rPr>
        <w:t>三、</w:t>
      </w:r>
      <w:r>
        <w:rPr>
          <w:rFonts w:ascii="黑体" w:eastAsia="黑体" w:hint="eastAsia"/>
          <w:sz w:val="32"/>
          <w:szCs w:val="32"/>
        </w:rPr>
        <w:t>支出</w:t>
      </w:r>
      <w:r>
        <w:rPr>
          <w:rFonts w:ascii="黑体" w:eastAsia="黑体" w:hint="eastAsia"/>
          <w:sz w:val="32"/>
          <w:szCs w:val="32"/>
        </w:rPr>
        <w:t>预算</w:t>
      </w:r>
      <w:r>
        <w:rPr>
          <w:rFonts w:ascii="黑体" w:eastAsia="黑体" w:hint="eastAsia"/>
          <w:sz w:val="32"/>
          <w:szCs w:val="32"/>
        </w:rPr>
        <w:t>情况说明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支出预算</w:t>
      </w:r>
      <w:r>
        <w:rPr>
          <w:rFonts w:ascii="仿宋_GB2312" w:eastAsia="仿宋_GB2312" w:hint="eastAsia"/>
          <w:sz w:val="32"/>
          <w:szCs w:val="32"/>
        </w:rPr>
        <w:t>6</w:t>
      </w:r>
      <w:r>
        <w:rPr>
          <w:rFonts w:ascii="仿宋_GB2312" w:eastAsia="仿宋_GB2312" w:hint="eastAsia"/>
          <w:sz w:val="32"/>
          <w:szCs w:val="32"/>
        </w:rPr>
        <w:t>626.33</w:t>
      </w:r>
      <w:r>
        <w:rPr>
          <w:rFonts w:ascii="仿宋_GB2312" w:eastAsia="仿宋_GB2312" w:hint="eastAsia"/>
          <w:sz w:val="32"/>
          <w:szCs w:val="32"/>
        </w:rPr>
        <w:t>万元，比</w:t>
      </w:r>
      <w:r>
        <w:rPr>
          <w:rFonts w:ascii="仿宋_GB2312" w:eastAsia="仿宋_GB2312" w:hint="eastAsia"/>
          <w:sz w:val="32"/>
          <w:szCs w:val="32"/>
        </w:rPr>
        <w:t>2022</w:t>
      </w:r>
      <w:r>
        <w:rPr>
          <w:rFonts w:ascii="仿宋_GB2312" w:eastAsia="仿宋_GB2312" w:hint="eastAsia"/>
          <w:sz w:val="32"/>
          <w:szCs w:val="32"/>
        </w:rPr>
        <w:t>年年初预算数</w:t>
      </w:r>
      <w:r>
        <w:rPr>
          <w:rFonts w:ascii="仿宋_GB2312" w:eastAsia="仿宋_GB2312" w:hint="eastAsia"/>
          <w:color w:val="000000"/>
          <w:sz w:val="32"/>
          <w:szCs w:val="32"/>
        </w:rPr>
        <w:t>5</w:t>
      </w:r>
      <w:r>
        <w:rPr>
          <w:rFonts w:ascii="仿宋_GB2312" w:eastAsia="仿宋_GB2312" w:hint="eastAsia"/>
          <w:color w:val="000000"/>
          <w:sz w:val="32"/>
          <w:szCs w:val="32"/>
        </w:rPr>
        <w:t>980.51</w:t>
      </w:r>
      <w:r>
        <w:rPr>
          <w:rFonts w:ascii="仿宋_GB2312" w:eastAsia="仿宋_GB2312" w:hint="eastAsia"/>
          <w:sz w:val="32"/>
          <w:szCs w:val="32"/>
        </w:rPr>
        <w:t>万元增加</w:t>
      </w:r>
      <w:r>
        <w:rPr>
          <w:rFonts w:ascii="仿宋_GB2312" w:eastAsia="仿宋_GB2312" w:hint="eastAsia"/>
          <w:sz w:val="32"/>
          <w:szCs w:val="32"/>
        </w:rPr>
        <w:t>6</w:t>
      </w:r>
      <w:r>
        <w:rPr>
          <w:rFonts w:ascii="仿宋_GB2312" w:eastAsia="仿宋_GB2312" w:hint="eastAsia"/>
          <w:sz w:val="32"/>
          <w:szCs w:val="32"/>
        </w:rPr>
        <w:t>45.82</w:t>
      </w:r>
      <w:r>
        <w:rPr>
          <w:rFonts w:ascii="仿宋_GB2312" w:eastAsia="仿宋_GB2312" w:hint="eastAsia"/>
          <w:sz w:val="32"/>
          <w:szCs w:val="32"/>
        </w:rPr>
        <w:t>万元，增长</w:t>
      </w:r>
      <w:r>
        <w:rPr>
          <w:rFonts w:ascii="仿宋_GB2312" w:eastAsia="仿宋_GB2312" w:hint="eastAsia"/>
          <w:sz w:val="32"/>
          <w:szCs w:val="32"/>
        </w:rPr>
        <w:t>1</w:t>
      </w:r>
      <w:r>
        <w:rPr>
          <w:rFonts w:ascii="仿宋_GB2312" w:eastAsia="仿宋_GB2312" w:hint="eastAsia"/>
          <w:sz w:val="32"/>
          <w:szCs w:val="32"/>
        </w:rPr>
        <w:t>0.80</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主要原因是</w:t>
      </w:r>
      <w:r>
        <w:rPr>
          <w:rFonts w:ascii="仿宋_GB2312" w:eastAsia="仿宋_GB2312" w:hint="eastAsia"/>
          <w:color w:val="000000"/>
          <w:sz w:val="32"/>
          <w:szCs w:val="32"/>
        </w:rPr>
        <w:t>落实人员正常调资等有关政策</w:t>
      </w:r>
      <w:r>
        <w:rPr>
          <w:rFonts w:ascii="仿宋_GB2312" w:eastAsia="仿宋_GB2312" w:hint="eastAsia"/>
          <w:color w:val="000000"/>
          <w:sz w:val="32"/>
          <w:szCs w:val="32"/>
        </w:rPr>
        <w:t>及</w:t>
      </w:r>
      <w:r>
        <w:rPr>
          <w:rFonts w:ascii="仿宋_GB2312" w:eastAsia="仿宋_GB2312" w:hint="eastAsia"/>
          <w:sz w:val="32"/>
          <w:szCs w:val="32"/>
        </w:rPr>
        <w:t>承担本市地热地质勘查、地热资源调查评价</w:t>
      </w:r>
      <w:r>
        <w:rPr>
          <w:rFonts w:ascii="仿宋_GB2312" w:eastAsia="仿宋_GB2312" w:hint="eastAsia"/>
          <w:sz w:val="32"/>
          <w:szCs w:val="32"/>
        </w:rPr>
        <w:t>等</w:t>
      </w:r>
      <w:r>
        <w:rPr>
          <w:rFonts w:ascii="仿宋_GB2312" w:eastAsia="仿宋_GB2312" w:hint="eastAsia"/>
          <w:sz w:val="32"/>
          <w:szCs w:val="32"/>
        </w:rPr>
        <w:t>项目增加</w:t>
      </w:r>
      <w:r>
        <w:rPr>
          <w:rFonts w:ascii="仿宋_GB2312" w:eastAsia="仿宋_GB2312" w:hint="eastAsia"/>
          <w:sz w:val="32"/>
          <w:szCs w:val="32"/>
        </w:rPr>
        <w:t>。</w:t>
      </w:r>
    </w:p>
    <w:p w:rsidR="003C5FB2" w:rsidRDefault="008E7598">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w:t>
      </w:r>
      <w:proofErr w:type="gramStart"/>
      <w:r>
        <w:rPr>
          <w:rFonts w:ascii="楷体_GB2312" w:eastAsia="楷体_GB2312" w:hAnsi="楷体_GB2312" w:cs="楷体_GB2312" w:hint="eastAsia"/>
          <w:sz w:val="32"/>
          <w:szCs w:val="32"/>
        </w:rPr>
        <w:t>一</w:t>
      </w:r>
      <w:proofErr w:type="gramEnd"/>
      <w:r>
        <w:rPr>
          <w:rFonts w:ascii="楷体_GB2312" w:eastAsia="楷体_GB2312" w:hAnsi="楷体_GB2312" w:cs="楷体_GB2312" w:hint="eastAsia"/>
          <w:sz w:val="32"/>
          <w:szCs w:val="32"/>
        </w:rPr>
        <w:t>)</w:t>
      </w:r>
      <w:r>
        <w:rPr>
          <w:rFonts w:ascii="楷体_GB2312" w:eastAsia="楷体_GB2312" w:hAnsi="楷体_GB2312" w:cs="楷体_GB2312" w:hint="eastAsia"/>
          <w:color w:val="FFFFFF" w:themeColor="background1"/>
          <w:sz w:val="32"/>
          <w:szCs w:val="32"/>
        </w:rPr>
        <w:t>.</w:t>
      </w:r>
      <w:r>
        <w:rPr>
          <w:rFonts w:ascii="楷体_GB2312" w:eastAsia="楷体_GB2312" w:hAnsi="楷体_GB2312" w:cs="楷体_GB2312" w:hint="eastAsia"/>
          <w:sz w:val="32"/>
          <w:szCs w:val="32"/>
        </w:rPr>
        <w:t>基本</w:t>
      </w:r>
      <w:r>
        <w:rPr>
          <w:rFonts w:ascii="楷体_GB2312" w:eastAsia="楷体_GB2312" w:hAnsi="楷体_GB2312" w:cs="楷体_GB2312" w:hint="eastAsia"/>
          <w:sz w:val="32"/>
          <w:szCs w:val="32"/>
        </w:rPr>
        <w:t>支出。</w:t>
      </w:r>
      <w:r>
        <w:rPr>
          <w:rFonts w:ascii="仿宋_GB2312" w:eastAsia="仿宋_GB2312" w:hint="eastAsia"/>
          <w:sz w:val="32"/>
          <w:szCs w:val="32"/>
        </w:rPr>
        <w:t>基本</w:t>
      </w:r>
      <w:r>
        <w:rPr>
          <w:rFonts w:ascii="仿宋_GB2312" w:eastAsia="仿宋_GB2312" w:hint="eastAsia"/>
          <w:sz w:val="32"/>
          <w:szCs w:val="32"/>
        </w:rPr>
        <w:t>支出预算</w:t>
      </w:r>
      <w:r>
        <w:rPr>
          <w:rFonts w:ascii="仿宋_GB2312" w:eastAsia="仿宋_GB2312" w:hint="eastAsia"/>
          <w:color w:val="000000"/>
          <w:sz w:val="32"/>
          <w:szCs w:val="32"/>
        </w:rPr>
        <w:t>5</w:t>
      </w:r>
      <w:r>
        <w:rPr>
          <w:rFonts w:ascii="仿宋_GB2312" w:eastAsia="仿宋_GB2312" w:hint="eastAsia"/>
          <w:color w:val="000000"/>
          <w:sz w:val="32"/>
          <w:szCs w:val="32"/>
        </w:rPr>
        <w:t>578.33</w:t>
      </w:r>
      <w:r>
        <w:rPr>
          <w:rFonts w:ascii="仿宋_GB2312" w:eastAsia="仿宋_GB2312" w:hint="eastAsia"/>
          <w:sz w:val="32"/>
          <w:szCs w:val="32"/>
        </w:rPr>
        <w:t>万元，占总支出预算</w:t>
      </w:r>
      <w:r>
        <w:rPr>
          <w:rFonts w:ascii="仿宋_GB2312" w:eastAsia="仿宋_GB2312" w:hint="eastAsia"/>
          <w:sz w:val="32"/>
          <w:szCs w:val="32"/>
        </w:rPr>
        <w:t>8</w:t>
      </w:r>
      <w:r>
        <w:rPr>
          <w:rFonts w:ascii="仿宋_GB2312" w:eastAsia="仿宋_GB2312" w:hint="eastAsia"/>
          <w:sz w:val="32"/>
          <w:szCs w:val="32"/>
        </w:rPr>
        <w:t>4.18</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2022</w:t>
      </w:r>
      <w:r>
        <w:rPr>
          <w:rFonts w:ascii="仿宋_GB2312" w:eastAsia="仿宋_GB2312" w:hint="eastAsia"/>
          <w:sz w:val="32"/>
          <w:szCs w:val="32"/>
        </w:rPr>
        <w:t>年年初预算数</w:t>
      </w:r>
      <w:r>
        <w:rPr>
          <w:rFonts w:ascii="仿宋_GB2312" w:eastAsia="仿宋_GB2312" w:hint="eastAsia"/>
          <w:color w:val="000000"/>
          <w:sz w:val="32"/>
          <w:szCs w:val="32"/>
        </w:rPr>
        <w:t>5347.18</w:t>
      </w:r>
      <w:r>
        <w:rPr>
          <w:rFonts w:ascii="仿宋_GB2312" w:eastAsia="仿宋_GB2312" w:hint="eastAsia"/>
          <w:sz w:val="32"/>
          <w:szCs w:val="32"/>
        </w:rPr>
        <w:t>万元增加</w:t>
      </w:r>
      <w:r>
        <w:rPr>
          <w:rFonts w:ascii="仿宋_GB2312" w:eastAsia="仿宋_GB2312" w:hint="eastAsia"/>
          <w:sz w:val="32"/>
          <w:szCs w:val="32"/>
        </w:rPr>
        <w:t>2</w:t>
      </w:r>
      <w:r>
        <w:rPr>
          <w:rFonts w:ascii="仿宋_GB2312" w:eastAsia="仿宋_GB2312" w:hint="eastAsia"/>
          <w:sz w:val="32"/>
          <w:szCs w:val="32"/>
        </w:rPr>
        <w:t>31.15</w:t>
      </w:r>
      <w:r>
        <w:rPr>
          <w:rFonts w:ascii="仿宋_GB2312" w:eastAsia="仿宋_GB2312" w:hint="eastAsia"/>
          <w:sz w:val="32"/>
          <w:szCs w:val="32"/>
        </w:rPr>
        <w:t>万元，增长</w:t>
      </w:r>
      <w:r>
        <w:rPr>
          <w:rFonts w:ascii="仿宋_GB2312" w:eastAsia="仿宋_GB2312" w:hint="eastAsia"/>
          <w:sz w:val="32"/>
          <w:szCs w:val="32"/>
        </w:rPr>
        <w:t>4.32</w:t>
      </w:r>
      <w:r>
        <w:rPr>
          <w:rFonts w:ascii="仿宋_GB2312" w:eastAsia="仿宋_GB2312" w:hint="eastAsia"/>
          <w:sz w:val="32"/>
          <w:szCs w:val="32"/>
        </w:rPr>
        <w:t>%</w:t>
      </w:r>
      <w:r>
        <w:rPr>
          <w:rFonts w:ascii="仿宋_GB2312" w:eastAsia="仿宋_GB2312" w:hint="eastAsia"/>
          <w:sz w:val="32"/>
          <w:szCs w:val="32"/>
        </w:rPr>
        <w:t>。</w:t>
      </w:r>
    </w:p>
    <w:p w:rsidR="003C5FB2" w:rsidRDefault="008E7598">
      <w:pPr>
        <w:spacing w:line="560" w:lineRule="exact"/>
        <w:ind w:firstLineChars="131" w:firstLine="419"/>
        <w:rPr>
          <w:rFonts w:ascii="仿宋_GB2312" w:eastAsia="仿宋_GB2312"/>
          <w:sz w:val="32"/>
          <w:szCs w:val="32"/>
        </w:rPr>
      </w:pPr>
      <w:r>
        <w:rPr>
          <w:rFonts w:ascii="楷体_GB2312" w:eastAsia="楷体_GB2312" w:hAnsi="楷体_GB2312" w:cs="楷体_GB2312" w:hint="eastAsia"/>
          <w:color w:val="FFFFFF" w:themeColor="background1"/>
          <w:sz w:val="32"/>
          <w:szCs w:val="32"/>
        </w:rPr>
        <w:t>.</w:t>
      </w:r>
      <w:r>
        <w:rPr>
          <w:rFonts w:ascii="楷体_GB2312" w:eastAsia="楷体_GB2312" w:hAnsi="楷体_GB2312" w:cs="楷体_GB2312" w:hint="eastAsia"/>
          <w:sz w:val="32"/>
          <w:szCs w:val="32"/>
        </w:rPr>
        <w:t>（二）项目支出。</w:t>
      </w:r>
      <w:r>
        <w:rPr>
          <w:rFonts w:ascii="仿宋_GB2312" w:eastAsia="仿宋_GB2312" w:hint="eastAsia"/>
          <w:sz w:val="32"/>
          <w:szCs w:val="32"/>
        </w:rPr>
        <w:t>项目支出预算</w:t>
      </w:r>
      <w:r>
        <w:rPr>
          <w:rFonts w:ascii="仿宋_GB2312" w:eastAsia="仿宋_GB2312" w:hint="eastAsia"/>
          <w:sz w:val="32"/>
          <w:szCs w:val="32"/>
        </w:rPr>
        <w:t>1</w:t>
      </w:r>
      <w:r>
        <w:rPr>
          <w:rFonts w:ascii="仿宋_GB2312" w:eastAsia="仿宋_GB2312" w:hint="eastAsia"/>
          <w:sz w:val="32"/>
          <w:szCs w:val="32"/>
        </w:rPr>
        <w:t>048.00</w:t>
      </w:r>
      <w:r>
        <w:rPr>
          <w:rFonts w:ascii="仿宋_GB2312" w:eastAsia="仿宋_GB2312" w:hint="eastAsia"/>
          <w:sz w:val="32"/>
          <w:szCs w:val="32"/>
        </w:rPr>
        <w:t>万元</w:t>
      </w:r>
      <w:r>
        <w:rPr>
          <w:rFonts w:ascii="仿宋_GB2312" w:eastAsia="仿宋_GB2312" w:hint="eastAsia"/>
          <w:sz w:val="32"/>
          <w:szCs w:val="32"/>
        </w:rPr>
        <w:t>（含上年结转结余</w:t>
      </w:r>
      <w:r>
        <w:rPr>
          <w:rFonts w:ascii="仿宋_GB2312" w:eastAsia="仿宋_GB2312" w:hint="eastAsia"/>
          <w:sz w:val="32"/>
          <w:szCs w:val="32"/>
        </w:rPr>
        <w:t>资金</w:t>
      </w:r>
      <w:r>
        <w:rPr>
          <w:rFonts w:ascii="仿宋_GB2312" w:eastAsia="仿宋_GB2312" w:hint="eastAsia"/>
          <w:sz w:val="32"/>
          <w:szCs w:val="32"/>
        </w:rPr>
        <w:t>0.39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2022</w:t>
      </w:r>
      <w:r>
        <w:rPr>
          <w:rFonts w:ascii="仿宋_GB2312" w:eastAsia="仿宋_GB2312" w:hint="eastAsia"/>
          <w:sz w:val="32"/>
          <w:szCs w:val="32"/>
        </w:rPr>
        <w:t>年年初预算数</w:t>
      </w:r>
      <w:r>
        <w:rPr>
          <w:rFonts w:ascii="仿宋_GB2312" w:eastAsia="仿宋_GB2312" w:hint="eastAsia"/>
          <w:sz w:val="32"/>
          <w:szCs w:val="32"/>
        </w:rPr>
        <w:t>633.</w:t>
      </w:r>
      <w:r>
        <w:rPr>
          <w:rFonts w:ascii="仿宋_GB2312" w:eastAsia="仿宋_GB2312" w:hint="eastAsia"/>
          <w:color w:val="000000"/>
          <w:sz w:val="32"/>
          <w:szCs w:val="32"/>
        </w:rPr>
        <w:t>33</w:t>
      </w:r>
      <w:r>
        <w:rPr>
          <w:rFonts w:ascii="仿宋_GB2312" w:eastAsia="仿宋_GB2312" w:hint="eastAsia"/>
          <w:sz w:val="32"/>
          <w:szCs w:val="32"/>
        </w:rPr>
        <w:t>万元增加</w:t>
      </w:r>
      <w:r>
        <w:rPr>
          <w:rFonts w:ascii="仿宋_GB2312" w:eastAsia="仿宋_GB2312" w:hint="eastAsia"/>
          <w:sz w:val="32"/>
          <w:szCs w:val="32"/>
        </w:rPr>
        <w:t>4</w:t>
      </w:r>
      <w:r>
        <w:rPr>
          <w:rFonts w:ascii="仿宋_GB2312" w:eastAsia="仿宋_GB2312" w:hint="eastAsia"/>
          <w:sz w:val="32"/>
          <w:szCs w:val="32"/>
        </w:rPr>
        <w:t>14.67</w:t>
      </w:r>
      <w:r>
        <w:rPr>
          <w:rFonts w:ascii="仿宋_GB2312" w:eastAsia="仿宋_GB2312" w:hint="eastAsia"/>
          <w:sz w:val="32"/>
          <w:szCs w:val="32"/>
        </w:rPr>
        <w:t>万元，增长</w:t>
      </w:r>
      <w:r>
        <w:rPr>
          <w:rFonts w:ascii="仿宋_GB2312" w:eastAsia="仿宋_GB2312" w:hint="eastAsia"/>
          <w:sz w:val="32"/>
          <w:szCs w:val="32"/>
        </w:rPr>
        <w:t>65.47</w:t>
      </w:r>
      <w:r>
        <w:rPr>
          <w:rFonts w:ascii="仿宋_GB2312" w:eastAsia="仿宋_GB2312" w:hint="eastAsia"/>
          <w:sz w:val="32"/>
          <w:szCs w:val="32"/>
        </w:rPr>
        <w:t>%</w:t>
      </w:r>
      <w:r>
        <w:rPr>
          <w:rFonts w:ascii="仿宋_GB2312" w:eastAsia="仿宋_GB2312" w:hint="eastAsia"/>
          <w:sz w:val="32"/>
          <w:szCs w:val="32"/>
        </w:rPr>
        <w:t>。其中：</w:t>
      </w:r>
    </w:p>
    <w:p w:rsidR="003C5FB2" w:rsidRDefault="008E7598">
      <w:pPr>
        <w:spacing w:line="560" w:lineRule="exact"/>
        <w:ind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事业单位经营支出</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上缴上级支出</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spacing w:line="560" w:lineRule="exact"/>
        <w:ind w:firstLine="640"/>
        <w:rPr>
          <w:rFonts w:ascii="仿宋_GB2312" w:eastAsia="仿宋_GB2312"/>
          <w:sz w:val="32"/>
          <w:szCs w:val="32"/>
        </w:rPr>
      </w:pPr>
      <w:r>
        <w:rPr>
          <w:rFonts w:ascii="仿宋_GB2312" w:eastAsia="仿宋_GB2312" w:hint="eastAsia"/>
          <w:sz w:val="32"/>
          <w:szCs w:val="32"/>
        </w:rPr>
        <w:lastRenderedPageBreak/>
        <w:t>3.</w:t>
      </w:r>
      <w:r>
        <w:rPr>
          <w:rFonts w:ascii="仿宋_GB2312" w:eastAsia="仿宋_GB2312" w:hint="eastAsia"/>
          <w:sz w:val="32"/>
          <w:szCs w:val="32"/>
        </w:rPr>
        <w:t>对附属单位补助支出</w:t>
      </w:r>
      <w:r>
        <w:rPr>
          <w:rFonts w:ascii="仿宋_GB2312" w:eastAsia="仿宋_GB2312" w:hint="eastAsia"/>
          <w:sz w:val="32"/>
          <w:szCs w:val="32"/>
        </w:rPr>
        <w:t>0</w:t>
      </w:r>
      <w:r>
        <w:rPr>
          <w:rFonts w:ascii="仿宋_GB2312" w:eastAsia="仿宋_GB2312" w:hint="eastAsia"/>
          <w:sz w:val="32"/>
          <w:szCs w:val="32"/>
        </w:rPr>
        <w:t>万元。</w:t>
      </w:r>
    </w:p>
    <w:p w:rsidR="003C5FB2" w:rsidRDefault="008E7598">
      <w:pPr>
        <w:pStyle w:val="2"/>
        <w:ind w:firstLine="642"/>
        <w:jc w:val="center"/>
      </w:pPr>
      <w:r>
        <w:rPr>
          <w:rFonts w:ascii="仿宋_GB2312" w:eastAsia="仿宋_GB2312" w:hint="eastAsia"/>
          <w:sz w:val="32"/>
        </w:rPr>
        <w:t>图</w:t>
      </w:r>
      <w:r>
        <w:rPr>
          <w:rFonts w:ascii="仿宋_GB2312" w:eastAsia="仿宋_GB2312" w:hint="eastAsia"/>
          <w:sz w:val="32"/>
        </w:rPr>
        <w:t>2</w:t>
      </w:r>
      <w:r>
        <w:rPr>
          <w:rFonts w:ascii="仿宋_GB2312" w:eastAsia="仿宋_GB2312" w:hint="eastAsia"/>
          <w:sz w:val="32"/>
        </w:rPr>
        <w:t>：基本支出和项目支出情况</w:t>
      </w:r>
    </w:p>
    <w:p w:rsidR="003C5FB2" w:rsidRDefault="002A25AD">
      <w:pPr>
        <w:pStyle w:val="2"/>
        <w:jc w:val="center"/>
      </w:pPr>
      <w:r>
        <w:rPr>
          <w:noProof/>
        </w:rPr>
        <w:drawing>
          <wp:inline distT="0" distB="0" distL="0" distR="0">
            <wp:extent cx="4676775" cy="2800350"/>
            <wp:effectExtent l="0" t="0" r="9525" b="0"/>
            <wp:docPr id="8" name="图片 8" descr="C:\Users\DELL\AppData\Local\Temp\WeChat Files\aaef6f0909d1d263253a601463f5b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LL\AppData\Local\Temp\WeChat Files\aaef6f0909d1d263253a601463f5be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76775" cy="2800350"/>
                    </a:xfrm>
                    <a:prstGeom prst="rect">
                      <a:avLst/>
                    </a:prstGeom>
                    <a:noFill/>
                    <a:ln>
                      <a:noFill/>
                    </a:ln>
                  </pic:spPr>
                </pic:pic>
              </a:graphicData>
            </a:graphic>
          </wp:inline>
        </w:drawing>
      </w:r>
    </w:p>
    <w:p w:rsidR="003C5FB2" w:rsidRDefault="008E7598">
      <w:pPr>
        <w:spacing w:line="560" w:lineRule="exact"/>
        <w:ind w:firstLineChars="200" w:firstLine="640"/>
        <w:rPr>
          <w:rFonts w:ascii="黑体" w:eastAsia="黑体"/>
          <w:sz w:val="32"/>
          <w:szCs w:val="32"/>
        </w:rPr>
      </w:pPr>
      <w:r>
        <w:rPr>
          <w:rFonts w:ascii="黑体" w:eastAsia="黑体" w:hint="eastAsia"/>
          <w:sz w:val="32"/>
          <w:szCs w:val="32"/>
        </w:rPr>
        <w:t>四</w:t>
      </w:r>
      <w:r>
        <w:rPr>
          <w:rFonts w:ascii="黑体" w:eastAsia="黑体" w:hint="eastAsia"/>
          <w:sz w:val="32"/>
          <w:szCs w:val="32"/>
        </w:rPr>
        <w:t>、财政拨款“三公”经费预算</w:t>
      </w:r>
      <w:r>
        <w:rPr>
          <w:rFonts w:ascii="黑体" w:eastAsia="黑体" w:hint="eastAsia"/>
          <w:sz w:val="32"/>
          <w:szCs w:val="32"/>
        </w:rPr>
        <w:t>情况</w:t>
      </w:r>
      <w:r>
        <w:rPr>
          <w:rFonts w:ascii="黑体" w:eastAsia="黑体" w:hint="eastAsia"/>
          <w:sz w:val="32"/>
          <w:szCs w:val="32"/>
        </w:rPr>
        <w:t>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本</w:t>
      </w:r>
      <w:r>
        <w:rPr>
          <w:rFonts w:ascii="仿宋_GB2312" w:eastAsia="仿宋_GB2312" w:hint="eastAsia"/>
          <w:sz w:val="32"/>
          <w:szCs w:val="32"/>
        </w:rPr>
        <w:t>单位</w:t>
      </w: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无财政拨款安排的</w:t>
      </w:r>
      <w:r>
        <w:rPr>
          <w:rFonts w:ascii="仿宋_GB2312" w:eastAsia="仿宋_GB2312" w:hint="eastAsia"/>
          <w:sz w:val="32"/>
          <w:szCs w:val="32"/>
        </w:rPr>
        <w:t>“</w:t>
      </w:r>
      <w:r>
        <w:rPr>
          <w:rFonts w:ascii="仿宋_GB2312" w:eastAsia="仿宋_GB2312" w:hint="eastAsia"/>
          <w:sz w:val="32"/>
          <w:szCs w:val="32"/>
        </w:rPr>
        <w:t>三公</w:t>
      </w:r>
      <w:r>
        <w:rPr>
          <w:rFonts w:ascii="仿宋_GB2312" w:eastAsia="仿宋_GB2312" w:hint="eastAsia"/>
          <w:sz w:val="32"/>
          <w:szCs w:val="32"/>
        </w:rPr>
        <w:t>”</w:t>
      </w:r>
      <w:r>
        <w:rPr>
          <w:rFonts w:ascii="仿宋_GB2312" w:eastAsia="仿宋_GB2312" w:hint="eastAsia"/>
          <w:sz w:val="32"/>
          <w:szCs w:val="32"/>
        </w:rPr>
        <w:t>经费预算</w:t>
      </w:r>
      <w:r>
        <w:rPr>
          <w:rFonts w:ascii="仿宋_GB2312" w:eastAsia="仿宋_GB2312" w:hint="eastAsia"/>
          <w:sz w:val="32"/>
          <w:szCs w:val="32"/>
        </w:rPr>
        <w:t>。</w:t>
      </w:r>
    </w:p>
    <w:p w:rsidR="003C5FB2" w:rsidRDefault="008E7598">
      <w:pPr>
        <w:spacing w:line="560" w:lineRule="exact"/>
        <w:ind w:firstLineChars="200" w:firstLine="640"/>
        <w:rPr>
          <w:rFonts w:ascii="黑体" w:eastAsia="黑体"/>
          <w:sz w:val="32"/>
          <w:szCs w:val="32"/>
        </w:rPr>
      </w:pPr>
      <w:r>
        <w:rPr>
          <w:rFonts w:ascii="黑体" w:eastAsia="黑体" w:hint="eastAsia"/>
          <w:sz w:val="32"/>
          <w:szCs w:val="32"/>
        </w:rPr>
        <w:t>五</w:t>
      </w:r>
      <w:r>
        <w:rPr>
          <w:rFonts w:ascii="黑体" w:eastAsia="黑体" w:hint="eastAsia"/>
          <w:sz w:val="32"/>
          <w:szCs w:val="32"/>
        </w:rPr>
        <w:t>、其他情况说明</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（一）政府采购预算说明</w:t>
      </w:r>
      <w:bookmarkStart w:id="0" w:name="_GoBack"/>
      <w:bookmarkEnd w:id="0"/>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w:t>
      </w:r>
      <w:r>
        <w:rPr>
          <w:rFonts w:ascii="仿宋_GB2312" w:eastAsia="仿宋_GB2312" w:hint="eastAsia"/>
          <w:color w:val="000000"/>
          <w:sz w:val="32"/>
          <w:szCs w:val="32"/>
        </w:rPr>
        <w:t>3</w:t>
      </w:r>
      <w:r>
        <w:rPr>
          <w:rFonts w:ascii="仿宋_GB2312" w:eastAsia="仿宋_GB2312" w:hint="eastAsia"/>
          <w:color w:val="000000"/>
          <w:sz w:val="32"/>
          <w:szCs w:val="32"/>
        </w:rPr>
        <w:t>年北京市地热调查研究所政府采购预算总额</w:t>
      </w:r>
      <w:r>
        <w:rPr>
          <w:rFonts w:ascii="仿宋_GB2312" w:eastAsia="仿宋_GB2312" w:hint="eastAsia"/>
          <w:color w:val="000000"/>
          <w:sz w:val="32"/>
          <w:szCs w:val="32"/>
        </w:rPr>
        <w:t>为</w:t>
      </w:r>
      <w:r>
        <w:rPr>
          <w:rFonts w:ascii="仿宋_GB2312" w:eastAsia="仿宋_GB2312" w:hint="eastAsia"/>
          <w:color w:val="000000"/>
          <w:sz w:val="32"/>
          <w:szCs w:val="32"/>
        </w:rPr>
        <w:t>731.42</w:t>
      </w:r>
      <w:r>
        <w:rPr>
          <w:rFonts w:ascii="仿宋_GB2312" w:eastAsia="仿宋_GB2312" w:hint="eastAsia"/>
          <w:color w:val="000000"/>
          <w:sz w:val="32"/>
          <w:szCs w:val="32"/>
        </w:rPr>
        <w:t>万元。其中：政府采购货物预算</w:t>
      </w:r>
      <w:r>
        <w:rPr>
          <w:rFonts w:ascii="仿宋_GB2312" w:eastAsia="仿宋_GB2312" w:hint="eastAsia"/>
          <w:color w:val="000000"/>
          <w:sz w:val="32"/>
          <w:szCs w:val="32"/>
        </w:rPr>
        <w:t>331.68</w:t>
      </w:r>
      <w:r>
        <w:rPr>
          <w:rFonts w:ascii="仿宋_GB2312" w:eastAsia="仿宋_GB2312" w:hint="eastAsia"/>
          <w:color w:val="000000"/>
          <w:sz w:val="32"/>
          <w:szCs w:val="32"/>
        </w:rPr>
        <w:t>万元，政府采购工程预算</w:t>
      </w:r>
      <w:r>
        <w:rPr>
          <w:rFonts w:ascii="仿宋_GB2312" w:eastAsia="仿宋_GB2312" w:hint="eastAsia"/>
          <w:color w:val="000000"/>
          <w:sz w:val="32"/>
          <w:szCs w:val="32"/>
        </w:rPr>
        <w:t>0</w:t>
      </w:r>
      <w:r>
        <w:rPr>
          <w:rFonts w:ascii="仿宋_GB2312" w:eastAsia="仿宋_GB2312" w:hint="eastAsia"/>
          <w:color w:val="000000"/>
          <w:sz w:val="32"/>
          <w:szCs w:val="32"/>
        </w:rPr>
        <w:t>万元，政府采购服务预算</w:t>
      </w:r>
      <w:r>
        <w:rPr>
          <w:rFonts w:ascii="仿宋_GB2312" w:eastAsia="仿宋_GB2312" w:hint="eastAsia"/>
          <w:color w:val="000000"/>
          <w:sz w:val="32"/>
          <w:szCs w:val="32"/>
        </w:rPr>
        <w:t>399.74</w:t>
      </w:r>
      <w:r>
        <w:rPr>
          <w:rFonts w:ascii="仿宋_GB2312" w:eastAsia="仿宋_GB2312" w:hint="eastAsia"/>
          <w:color w:val="000000"/>
          <w:sz w:val="32"/>
          <w:szCs w:val="32"/>
        </w:rPr>
        <w:t>万元。</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（二）政府购买服务预算说明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color w:val="000000"/>
          <w:sz w:val="32"/>
          <w:szCs w:val="32"/>
        </w:rPr>
        <w:t>202</w:t>
      </w:r>
      <w:r>
        <w:rPr>
          <w:rFonts w:ascii="仿宋_GB2312" w:eastAsia="仿宋_GB2312" w:hint="eastAsia"/>
          <w:color w:val="000000"/>
          <w:sz w:val="32"/>
          <w:szCs w:val="32"/>
        </w:rPr>
        <w:t>3</w:t>
      </w:r>
      <w:r>
        <w:rPr>
          <w:rFonts w:ascii="仿宋_GB2312" w:eastAsia="仿宋_GB2312" w:hint="eastAsia"/>
          <w:color w:val="000000"/>
          <w:sz w:val="32"/>
          <w:szCs w:val="32"/>
        </w:rPr>
        <w:t>年北京市地热调查研究所政府购买服务预算总额</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（三）机关运行经费说明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我</w:t>
      </w:r>
      <w:r>
        <w:rPr>
          <w:rFonts w:ascii="仿宋_GB2312" w:eastAsia="仿宋_GB2312" w:hint="eastAsia"/>
          <w:sz w:val="32"/>
          <w:szCs w:val="32"/>
        </w:rPr>
        <w:t>单位不在机关运行经费统计范围之内。</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lastRenderedPageBreak/>
        <w:t>（四）项目支出绩效目标情况说明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2023</w:t>
      </w:r>
      <w:r>
        <w:rPr>
          <w:rFonts w:ascii="仿宋_GB2312" w:eastAsia="仿宋_GB2312" w:hint="eastAsia"/>
          <w:sz w:val="32"/>
          <w:szCs w:val="32"/>
        </w:rPr>
        <w:t>年</w:t>
      </w:r>
      <w:r>
        <w:rPr>
          <w:rFonts w:ascii="仿宋_GB2312" w:eastAsia="仿宋_GB2312" w:hint="eastAsia"/>
          <w:sz w:val="32"/>
          <w:szCs w:val="32"/>
        </w:rPr>
        <w:t>，</w:t>
      </w:r>
      <w:r>
        <w:rPr>
          <w:rFonts w:ascii="仿宋_GB2312" w:eastAsia="仿宋_GB2312" w:hint="eastAsia"/>
          <w:sz w:val="32"/>
          <w:szCs w:val="32"/>
        </w:rPr>
        <w:t>北京市地热调查研究所</w:t>
      </w:r>
      <w:r>
        <w:rPr>
          <w:rFonts w:ascii="仿宋_GB2312" w:eastAsia="仿宋_GB2312" w:hint="eastAsia"/>
          <w:sz w:val="32"/>
          <w:szCs w:val="32"/>
        </w:rPr>
        <w:t>填报绩效目标的预算项目</w:t>
      </w:r>
      <w:r>
        <w:rPr>
          <w:rFonts w:ascii="仿宋_GB2312" w:eastAsia="仿宋_GB2312" w:hint="eastAsia"/>
          <w:sz w:val="32"/>
          <w:szCs w:val="32"/>
        </w:rPr>
        <w:t>5</w:t>
      </w:r>
      <w:r>
        <w:rPr>
          <w:rFonts w:ascii="仿宋_GB2312" w:eastAsia="仿宋_GB2312" w:hint="eastAsia"/>
          <w:sz w:val="32"/>
          <w:szCs w:val="32"/>
        </w:rPr>
        <w:t>个，占本</w:t>
      </w:r>
      <w:r>
        <w:rPr>
          <w:rFonts w:ascii="仿宋_GB2312" w:eastAsia="仿宋_GB2312" w:hint="eastAsia"/>
          <w:sz w:val="32"/>
          <w:szCs w:val="32"/>
        </w:rPr>
        <w:t>单位</w:t>
      </w:r>
      <w:r>
        <w:rPr>
          <w:rFonts w:ascii="仿宋_GB2312" w:eastAsia="仿宋_GB2312" w:hint="eastAsia"/>
          <w:sz w:val="32"/>
          <w:szCs w:val="32"/>
        </w:rPr>
        <w:t>本年预算项目</w:t>
      </w:r>
      <w:r>
        <w:rPr>
          <w:rFonts w:ascii="仿宋_GB2312" w:eastAsia="仿宋_GB2312" w:hint="eastAsia"/>
          <w:sz w:val="32"/>
          <w:szCs w:val="32"/>
        </w:rPr>
        <w:t>5</w:t>
      </w:r>
      <w:r>
        <w:rPr>
          <w:rFonts w:ascii="仿宋_GB2312" w:eastAsia="仿宋_GB2312" w:hint="eastAsia"/>
          <w:sz w:val="32"/>
          <w:szCs w:val="32"/>
        </w:rPr>
        <w:t>个的</w:t>
      </w:r>
      <w:r>
        <w:rPr>
          <w:rFonts w:ascii="仿宋_GB2312" w:eastAsia="仿宋_GB2312" w:hint="eastAsia"/>
          <w:sz w:val="32"/>
          <w:szCs w:val="32"/>
        </w:rPr>
        <w:t>1</w:t>
      </w:r>
      <w:r>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rPr>
        <w:t>。填报绩效目标的项目支出预算</w:t>
      </w:r>
      <w:r>
        <w:rPr>
          <w:rFonts w:ascii="仿宋_GB2312" w:eastAsia="仿宋_GB2312" w:hint="eastAsia"/>
          <w:sz w:val="32"/>
          <w:szCs w:val="32"/>
        </w:rPr>
        <w:t>1</w:t>
      </w:r>
      <w:r>
        <w:rPr>
          <w:rFonts w:ascii="仿宋_GB2312" w:eastAsia="仿宋_GB2312" w:hint="eastAsia"/>
          <w:sz w:val="32"/>
          <w:szCs w:val="32"/>
        </w:rPr>
        <w:t>047.60</w:t>
      </w:r>
      <w:r>
        <w:rPr>
          <w:rFonts w:ascii="仿宋_GB2312" w:eastAsia="仿宋_GB2312" w:hint="eastAsia"/>
          <w:sz w:val="32"/>
          <w:szCs w:val="32"/>
        </w:rPr>
        <w:t>万元，占本</w:t>
      </w:r>
      <w:r>
        <w:rPr>
          <w:rFonts w:ascii="仿宋_GB2312" w:eastAsia="仿宋_GB2312" w:hint="eastAsia"/>
          <w:sz w:val="32"/>
          <w:szCs w:val="32"/>
        </w:rPr>
        <w:t>单位</w:t>
      </w:r>
      <w:r>
        <w:rPr>
          <w:rFonts w:ascii="仿宋_GB2312" w:eastAsia="仿宋_GB2312" w:hint="eastAsia"/>
          <w:sz w:val="32"/>
          <w:szCs w:val="32"/>
        </w:rPr>
        <w:t>本年项目支出预算的</w:t>
      </w:r>
      <w:r>
        <w:rPr>
          <w:rFonts w:ascii="仿宋_GB2312" w:eastAsia="仿宋_GB2312" w:hint="eastAsia"/>
          <w:sz w:val="32"/>
          <w:szCs w:val="32"/>
        </w:rPr>
        <w:t>1</w:t>
      </w:r>
      <w:r>
        <w:rPr>
          <w:rFonts w:ascii="仿宋_GB2312" w:eastAsia="仿宋_GB2312" w:hint="eastAsia"/>
          <w:sz w:val="32"/>
          <w:szCs w:val="32"/>
        </w:rPr>
        <w:t>00</w:t>
      </w:r>
      <w:r>
        <w:rPr>
          <w:rFonts w:ascii="仿宋_GB2312" w:eastAsia="仿宋_GB2312" w:hint="eastAsia"/>
          <w:sz w:val="32"/>
          <w:szCs w:val="32"/>
        </w:rPr>
        <w:t>%</w:t>
      </w:r>
      <w:r>
        <w:rPr>
          <w:rFonts w:ascii="仿宋_GB2312" w:eastAsia="仿宋_GB2312" w:hint="eastAsia"/>
          <w:sz w:val="32"/>
          <w:szCs w:val="32"/>
        </w:rPr>
        <w:t>。</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（五）重点行政事业性收费情况说明</w:t>
      </w:r>
    </w:p>
    <w:p w:rsidR="003C5FB2" w:rsidRDefault="008E7598">
      <w:pPr>
        <w:spacing w:line="560" w:lineRule="exact"/>
        <w:ind w:firstLineChars="200" w:firstLine="640"/>
        <w:rPr>
          <w:rFonts w:ascii="仿宋_GB2312" w:eastAsia="仿宋_GB2312"/>
          <w:sz w:val="32"/>
          <w:szCs w:val="32"/>
        </w:rPr>
      </w:pPr>
      <w:r>
        <w:rPr>
          <w:rFonts w:ascii="仿宋_GB2312" w:eastAsia="仿宋_GB2312" w:hint="eastAsia"/>
          <w:sz w:val="32"/>
          <w:szCs w:val="32"/>
        </w:rPr>
        <w:t>本单位</w:t>
      </w:r>
      <w:r>
        <w:rPr>
          <w:rFonts w:ascii="仿宋_GB2312" w:eastAsia="仿宋_GB2312" w:hint="eastAsia"/>
          <w:sz w:val="32"/>
          <w:szCs w:val="32"/>
        </w:rPr>
        <w:t>202</w:t>
      </w:r>
      <w:r>
        <w:rPr>
          <w:rFonts w:ascii="仿宋_GB2312" w:eastAsia="仿宋_GB2312" w:hint="eastAsia"/>
          <w:sz w:val="32"/>
          <w:szCs w:val="32"/>
        </w:rPr>
        <w:t>3</w:t>
      </w:r>
      <w:r>
        <w:rPr>
          <w:rFonts w:ascii="仿宋_GB2312" w:eastAsia="仿宋_GB2312" w:hint="eastAsia"/>
          <w:sz w:val="32"/>
          <w:szCs w:val="32"/>
        </w:rPr>
        <w:t>年无重点行政事业性收费。</w:t>
      </w:r>
    </w:p>
    <w:p w:rsidR="003C5FB2" w:rsidRDefault="008E7598">
      <w:pPr>
        <w:spacing w:line="560" w:lineRule="exact"/>
        <w:ind w:firstLineChars="200" w:firstLine="640"/>
        <w:rPr>
          <w:rFonts w:ascii="楷体_GB2312" w:eastAsia="楷体_GB2312"/>
          <w:sz w:val="32"/>
          <w:szCs w:val="32"/>
        </w:rPr>
      </w:pPr>
      <w:r>
        <w:rPr>
          <w:rFonts w:ascii="楷体_GB2312" w:eastAsia="楷体_GB2312" w:hint="eastAsia"/>
          <w:sz w:val="32"/>
          <w:szCs w:val="32"/>
        </w:rPr>
        <w:t>（六）国有资本经营预算财政拨款情况说明</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本单位</w:t>
      </w:r>
      <w:r>
        <w:rPr>
          <w:rFonts w:ascii="仿宋_GB2312" w:eastAsia="仿宋_GB2312" w:hint="eastAsia"/>
          <w:color w:val="000000"/>
          <w:sz w:val="32"/>
          <w:szCs w:val="32"/>
        </w:rPr>
        <w:t>202</w:t>
      </w:r>
      <w:r>
        <w:rPr>
          <w:rFonts w:ascii="仿宋_GB2312" w:eastAsia="仿宋_GB2312" w:hint="eastAsia"/>
          <w:color w:val="000000"/>
          <w:sz w:val="32"/>
          <w:szCs w:val="32"/>
        </w:rPr>
        <w:t>3</w:t>
      </w:r>
      <w:r>
        <w:rPr>
          <w:rFonts w:ascii="仿宋_GB2312" w:eastAsia="仿宋_GB2312" w:hint="eastAsia"/>
          <w:color w:val="000000"/>
          <w:sz w:val="32"/>
          <w:szCs w:val="32"/>
        </w:rPr>
        <w:t>年无国有资本经营</w:t>
      </w:r>
      <w:r>
        <w:rPr>
          <w:rFonts w:ascii="仿宋_GB2312" w:eastAsia="仿宋_GB2312" w:hint="eastAsia"/>
          <w:color w:val="000000"/>
          <w:sz w:val="32"/>
          <w:szCs w:val="32"/>
        </w:rPr>
        <w:t>预算财政拨款</w:t>
      </w:r>
      <w:r>
        <w:rPr>
          <w:rFonts w:ascii="仿宋_GB2312" w:eastAsia="仿宋_GB2312" w:hint="eastAsia"/>
          <w:color w:val="000000"/>
          <w:sz w:val="32"/>
          <w:szCs w:val="32"/>
        </w:rPr>
        <w:t>安排的预算。</w:t>
      </w:r>
    </w:p>
    <w:p w:rsidR="003C5FB2" w:rsidRDefault="008E7598">
      <w:pPr>
        <w:spacing w:line="560" w:lineRule="exact"/>
        <w:ind w:firstLineChars="200" w:firstLine="640"/>
        <w:rPr>
          <w:rFonts w:ascii="楷体_GB2312" w:eastAsia="楷体_GB2312"/>
          <w:color w:val="000000"/>
          <w:sz w:val="32"/>
          <w:szCs w:val="32"/>
        </w:rPr>
      </w:pPr>
      <w:r>
        <w:rPr>
          <w:rFonts w:ascii="楷体_GB2312" w:eastAsia="楷体_GB2312" w:hint="eastAsia"/>
          <w:color w:val="000000"/>
          <w:sz w:val="32"/>
          <w:szCs w:val="32"/>
        </w:rPr>
        <w:t>（七）国有资产占用情况说明</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hint="eastAsia"/>
          <w:color w:val="000000"/>
          <w:sz w:val="32"/>
          <w:szCs w:val="32"/>
        </w:rPr>
        <w:t>202</w:t>
      </w:r>
      <w:r>
        <w:rPr>
          <w:rFonts w:ascii="仿宋_GB2312" w:eastAsia="仿宋_GB2312" w:hint="eastAsia"/>
          <w:color w:val="000000"/>
          <w:sz w:val="32"/>
          <w:szCs w:val="32"/>
        </w:rPr>
        <w:t>2</w:t>
      </w:r>
      <w:r>
        <w:rPr>
          <w:rFonts w:ascii="仿宋_GB2312" w:eastAsia="仿宋_GB2312" w:hint="eastAsia"/>
          <w:color w:val="000000"/>
          <w:sz w:val="32"/>
          <w:szCs w:val="32"/>
        </w:rPr>
        <w:t>年</w:t>
      </w:r>
      <w:r>
        <w:rPr>
          <w:rFonts w:ascii="仿宋_GB2312" w:eastAsia="仿宋_GB2312" w:hint="eastAsia"/>
          <w:color w:val="000000"/>
          <w:sz w:val="32"/>
          <w:szCs w:val="32"/>
        </w:rPr>
        <w:t>底，</w:t>
      </w:r>
      <w:r>
        <w:rPr>
          <w:rFonts w:ascii="仿宋_GB2312" w:eastAsia="仿宋_GB2312" w:hint="eastAsia"/>
          <w:color w:val="000000"/>
          <w:sz w:val="32"/>
          <w:szCs w:val="32"/>
        </w:rPr>
        <w:t>北京市地热调查研究所</w:t>
      </w:r>
      <w:r>
        <w:rPr>
          <w:rFonts w:ascii="仿宋_GB2312" w:eastAsia="仿宋_GB2312" w:hint="eastAsia"/>
          <w:color w:val="000000"/>
          <w:sz w:val="32"/>
          <w:szCs w:val="32"/>
        </w:rPr>
        <w:t>共有车辆</w:t>
      </w:r>
      <w:r>
        <w:rPr>
          <w:rFonts w:ascii="仿宋_GB2312" w:eastAsia="仿宋_GB2312" w:hint="eastAsia"/>
          <w:color w:val="000000"/>
          <w:sz w:val="32"/>
          <w:szCs w:val="32"/>
        </w:rPr>
        <w:t>1</w:t>
      </w:r>
      <w:r>
        <w:rPr>
          <w:rFonts w:ascii="仿宋_GB2312" w:eastAsia="仿宋_GB2312" w:hint="eastAsia"/>
          <w:color w:val="000000"/>
          <w:sz w:val="32"/>
          <w:szCs w:val="32"/>
        </w:rPr>
        <w:t>台，共计</w:t>
      </w:r>
      <w:r>
        <w:rPr>
          <w:rFonts w:ascii="仿宋_GB2312" w:eastAsia="仿宋_GB2312" w:hint="eastAsia"/>
          <w:color w:val="000000"/>
          <w:sz w:val="32"/>
          <w:szCs w:val="32"/>
        </w:rPr>
        <w:t>13.66</w:t>
      </w:r>
      <w:r>
        <w:rPr>
          <w:rFonts w:ascii="仿宋_GB2312" w:eastAsia="仿宋_GB2312" w:hint="eastAsia"/>
          <w:color w:val="000000"/>
          <w:sz w:val="32"/>
          <w:szCs w:val="32"/>
        </w:rPr>
        <w:t>万元；单位价值</w:t>
      </w:r>
      <w:r>
        <w:rPr>
          <w:rFonts w:ascii="仿宋_GB2312" w:eastAsia="仿宋_GB2312" w:hint="eastAsia"/>
          <w:color w:val="000000"/>
          <w:sz w:val="32"/>
          <w:szCs w:val="32"/>
        </w:rPr>
        <w:t>50</w:t>
      </w:r>
      <w:r>
        <w:rPr>
          <w:rFonts w:ascii="仿宋_GB2312" w:eastAsia="仿宋_GB2312" w:hint="eastAsia"/>
          <w:color w:val="000000"/>
          <w:sz w:val="32"/>
          <w:szCs w:val="32"/>
        </w:rPr>
        <w:t>万元以上的通用设备</w:t>
      </w:r>
      <w:r>
        <w:rPr>
          <w:rFonts w:ascii="仿宋_GB2312" w:eastAsia="仿宋_GB2312" w:hint="eastAsia"/>
          <w:color w:val="000000"/>
          <w:sz w:val="32"/>
          <w:szCs w:val="32"/>
        </w:rPr>
        <w:t>3</w:t>
      </w:r>
      <w:r>
        <w:rPr>
          <w:rFonts w:ascii="仿宋_GB2312" w:eastAsia="仿宋_GB2312" w:hint="eastAsia"/>
          <w:color w:val="000000"/>
          <w:sz w:val="32"/>
          <w:szCs w:val="32"/>
        </w:rPr>
        <w:t>台（套），共计</w:t>
      </w:r>
      <w:r>
        <w:rPr>
          <w:rFonts w:ascii="仿宋_GB2312" w:eastAsia="仿宋_GB2312" w:hint="eastAsia"/>
          <w:color w:val="000000"/>
          <w:sz w:val="32"/>
          <w:szCs w:val="32"/>
        </w:rPr>
        <w:t>224.69</w:t>
      </w:r>
      <w:r>
        <w:rPr>
          <w:rFonts w:ascii="仿宋_GB2312" w:eastAsia="仿宋_GB2312" w:hint="eastAsia"/>
          <w:color w:val="000000"/>
          <w:sz w:val="32"/>
          <w:szCs w:val="32"/>
        </w:rPr>
        <w:t>万元，单位价值</w:t>
      </w:r>
      <w:r>
        <w:rPr>
          <w:rFonts w:ascii="仿宋_GB2312" w:eastAsia="仿宋_GB2312" w:hint="eastAsia"/>
          <w:color w:val="000000"/>
          <w:sz w:val="32"/>
          <w:szCs w:val="32"/>
        </w:rPr>
        <w:t>100</w:t>
      </w:r>
      <w:r>
        <w:rPr>
          <w:rFonts w:ascii="仿宋_GB2312" w:eastAsia="仿宋_GB2312" w:hint="eastAsia"/>
          <w:color w:val="000000"/>
          <w:sz w:val="32"/>
          <w:szCs w:val="32"/>
        </w:rPr>
        <w:t>万元以上的专用设备</w:t>
      </w:r>
      <w:r>
        <w:rPr>
          <w:rFonts w:ascii="仿宋_GB2312" w:eastAsia="仿宋_GB2312" w:hint="eastAsia"/>
          <w:color w:val="000000"/>
          <w:sz w:val="32"/>
          <w:szCs w:val="32"/>
        </w:rPr>
        <w:t>0</w:t>
      </w:r>
      <w:r>
        <w:rPr>
          <w:rFonts w:ascii="仿宋_GB2312" w:eastAsia="仿宋_GB2312" w:hint="eastAsia"/>
          <w:color w:val="000000"/>
          <w:sz w:val="32"/>
          <w:szCs w:val="32"/>
        </w:rPr>
        <w:t>台（套）、共计</w:t>
      </w:r>
      <w:r>
        <w:rPr>
          <w:rFonts w:ascii="仿宋_GB2312" w:eastAsia="仿宋_GB2312" w:hint="eastAsia"/>
          <w:color w:val="000000"/>
          <w:sz w:val="32"/>
          <w:szCs w:val="32"/>
        </w:rPr>
        <w:t>0</w:t>
      </w:r>
      <w:r>
        <w:rPr>
          <w:rFonts w:ascii="仿宋_GB2312" w:eastAsia="仿宋_GB2312" w:hint="eastAsia"/>
          <w:color w:val="000000"/>
          <w:sz w:val="32"/>
          <w:szCs w:val="32"/>
        </w:rPr>
        <w:t>万元。</w:t>
      </w:r>
    </w:p>
    <w:p w:rsidR="003C5FB2" w:rsidRDefault="008E7598">
      <w:pPr>
        <w:spacing w:line="560" w:lineRule="exact"/>
        <w:ind w:firstLineChars="200" w:firstLine="640"/>
        <w:rPr>
          <w:rFonts w:ascii="黑体" w:eastAsia="黑体"/>
          <w:color w:val="000000"/>
          <w:sz w:val="32"/>
          <w:szCs w:val="32"/>
        </w:rPr>
      </w:pPr>
      <w:r>
        <w:rPr>
          <w:rFonts w:ascii="黑体" w:eastAsia="黑体" w:hint="eastAsia"/>
          <w:color w:val="000000"/>
          <w:sz w:val="32"/>
          <w:szCs w:val="32"/>
        </w:rPr>
        <w:t>六、名词解释</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基本支出：指为保障机构正常运转、完成日常工作任务而发生的人员支出和公用支出。</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项目支出：指在基本支出之外为完成特定行政任务或事业发展目标所发生的支出。</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3C5FB2" w:rsidRDefault="008E7598">
      <w:pPr>
        <w:spacing w:line="560" w:lineRule="exact"/>
        <w:ind w:firstLineChars="200" w:firstLine="640"/>
      </w:pPr>
      <w:r>
        <w:rPr>
          <w:rFonts w:ascii="仿宋_GB2312" w:eastAsia="仿宋_GB2312" w:hint="eastAsia"/>
          <w:color w:val="000000"/>
          <w:sz w:val="32"/>
          <w:szCs w:val="32"/>
        </w:rPr>
        <w:t>机关运行经费：指为保障行政单位（含参照公务员法管</w:t>
      </w:r>
      <w:r>
        <w:rPr>
          <w:rFonts w:ascii="仿宋_GB2312" w:eastAsia="仿宋_GB2312" w:hint="eastAsia"/>
          <w:color w:val="000000"/>
          <w:sz w:val="32"/>
          <w:szCs w:val="32"/>
        </w:rPr>
        <w:lastRenderedPageBreak/>
        <w:t>理事业单位）运行用于购</w:t>
      </w:r>
      <w:r>
        <w:rPr>
          <w:rFonts w:ascii="仿宋_GB2312" w:eastAsia="仿宋_GB2312" w:hint="eastAsia"/>
          <w:color w:val="000000"/>
          <w:sz w:val="32"/>
          <w:szCs w:val="32"/>
        </w:rPr>
        <w:t>买货物和服务的各项资金，包括办公及印刷费、邮电费、差旅费、会议费、福利费、日常维修费、专用材料及一般设备购置费、办公用房水电费、办公用房取暖费、办公用房物业管理费、公务用车运行维护费以及其他费用。</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rsidR="003C5FB2" w:rsidRDefault="008E7598">
      <w:pPr>
        <w:spacing w:line="560" w:lineRule="exact"/>
        <w:ind w:firstLineChars="200" w:firstLine="640"/>
      </w:pPr>
      <w:r>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w:t>
      </w:r>
      <w:r>
        <w:rPr>
          <w:rFonts w:ascii="仿宋_GB2312" w:eastAsia="仿宋_GB2312" w:hint="eastAsia"/>
          <w:color w:val="000000"/>
          <w:sz w:val="32"/>
          <w:szCs w:val="32"/>
        </w:rPr>
        <w:t>承担，并根据服务数量和质量等因素向其支付费用的行为。</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自然资源调查与确权登记：反映自然资源部门用于自然资源调查监测评价，自然资源统一确权登记等方面的支出。</w:t>
      </w: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教育支出：反映政府教育事务支出。</w:t>
      </w:r>
    </w:p>
    <w:p w:rsidR="003C5FB2" w:rsidRDefault="003C5FB2">
      <w:pPr>
        <w:rPr>
          <w:rFonts w:hint="eastAsia"/>
        </w:rPr>
      </w:pPr>
    </w:p>
    <w:p w:rsidR="00951F94" w:rsidRPr="00951F94" w:rsidRDefault="00951F94" w:rsidP="00951F94">
      <w:pPr>
        <w:pStyle w:val="2"/>
      </w:pPr>
    </w:p>
    <w:p w:rsidR="003C5FB2" w:rsidRDefault="008E7598">
      <w:pPr>
        <w:spacing w:line="560" w:lineRule="exact"/>
        <w:jc w:val="center"/>
        <w:rPr>
          <w:rFonts w:ascii="方正小标宋简体" w:eastAsia="方正小标宋简体"/>
          <w:color w:val="000000"/>
          <w:sz w:val="36"/>
          <w:szCs w:val="36"/>
        </w:rPr>
      </w:pPr>
      <w:r>
        <w:rPr>
          <w:rFonts w:ascii="方正小标宋简体" w:eastAsia="方正小标宋简体" w:hint="eastAsia"/>
          <w:color w:val="000000"/>
          <w:sz w:val="36"/>
          <w:szCs w:val="36"/>
        </w:rPr>
        <w:t>第二部分</w:t>
      </w:r>
      <w:r>
        <w:rPr>
          <w:rFonts w:ascii="方正小标宋简体" w:eastAsia="方正小标宋简体" w:hint="eastAsia"/>
          <w:color w:val="000000"/>
          <w:sz w:val="36"/>
          <w:szCs w:val="36"/>
        </w:rPr>
        <w:t xml:space="preserve">  </w:t>
      </w:r>
      <w:r>
        <w:rPr>
          <w:rFonts w:ascii="方正小标宋简体" w:eastAsia="方正小标宋简体" w:hint="eastAsia"/>
          <w:color w:val="000000"/>
          <w:sz w:val="36"/>
          <w:szCs w:val="36"/>
        </w:rPr>
        <w:t>2023</w:t>
      </w:r>
      <w:r>
        <w:rPr>
          <w:rFonts w:ascii="方正小标宋简体" w:eastAsia="方正小标宋简体" w:hint="eastAsia"/>
          <w:color w:val="000000"/>
          <w:sz w:val="36"/>
          <w:szCs w:val="36"/>
        </w:rPr>
        <w:t>年度</w:t>
      </w:r>
      <w:r>
        <w:rPr>
          <w:rFonts w:ascii="方正小标宋简体" w:eastAsia="方正小标宋简体" w:hint="eastAsia"/>
          <w:color w:val="000000"/>
          <w:sz w:val="36"/>
          <w:szCs w:val="36"/>
        </w:rPr>
        <w:t>单位预算报表</w:t>
      </w:r>
    </w:p>
    <w:p w:rsidR="003C5FB2" w:rsidRDefault="003C5FB2">
      <w:pPr>
        <w:autoSpaceDE w:val="0"/>
        <w:autoSpaceDN w:val="0"/>
        <w:adjustRightInd w:val="0"/>
        <w:spacing w:line="560" w:lineRule="exact"/>
        <w:jc w:val="left"/>
        <w:rPr>
          <w:rFonts w:ascii="方正小标宋简体" w:eastAsia="方正小标宋简体"/>
          <w:color w:val="000000"/>
          <w:sz w:val="36"/>
          <w:szCs w:val="36"/>
        </w:rPr>
      </w:pPr>
    </w:p>
    <w:p w:rsidR="003C5FB2" w:rsidRDefault="008E7598">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附件：</w:t>
      </w:r>
      <w:r>
        <w:rPr>
          <w:rFonts w:ascii="仿宋_GB2312" w:eastAsia="仿宋_GB2312" w:hint="eastAsia"/>
          <w:color w:val="000000"/>
          <w:sz w:val="32"/>
          <w:szCs w:val="32"/>
        </w:rPr>
        <w:t>北京市地热调查研究所</w:t>
      </w:r>
      <w:r>
        <w:rPr>
          <w:rFonts w:ascii="仿宋_GB2312" w:eastAsia="仿宋_GB2312" w:hint="eastAsia"/>
          <w:color w:val="000000"/>
          <w:sz w:val="32"/>
          <w:szCs w:val="32"/>
        </w:rPr>
        <w:t>2023</w:t>
      </w:r>
      <w:r>
        <w:rPr>
          <w:rFonts w:ascii="仿宋_GB2312" w:eastAsia="仿宋_GB2312" w:hint="eastAsia"/>
          <w:color w:val="000000"/>
          <w:sz w:val="32"/>
          <w:szCs w:val="32"/>
        </w:rPr>
        <w:t>年</w:t>
      </w:r>
      <w:r>
        <w:rPr>
          <w:rFonts w:ascii="仿宋_GB2312" w:eastAsia="仿宋_GB2312" w:hint="eastAsia"/>
          <w:color w:val="000000"/>
          <w:sz w:val="32"/>
          <w:szCs w:val="32"/>
        </w:rPr>
        <w:t>度单位预算报表</w:t>
      </w:r>
      <w:r>
        <w:rPr>
          <w:rFonts w:ascii="仿宋_GB2312" w:eastAsia="仿宋_GB2312" w:cs="宋体" w:hint="eastAsia"/>
          <w:color w:val="000000"/>
          <w:kern w:val="0"/>
          <w:sz w:val="32"/>
          <w:szCs w:val="32"/>
          <w:lang w:val="zh-CN"/>
        </w:rPr>
        <w:t xml:space="preserve"> </w:t>
      </w:r>
    </w:p>
    <w:p w:rsidR="003C5FB2" w:rsidRDefault="003C5FB2">
      <w:pPr>
        <w:spacing w:line="560" w:lineRule="exact"/>
        <w:rPr>
          <w:rFonts w:ascii="仿宋_GB2312" w:eastAsia="仿宋_GB2312"/>
          <w:color w:val="000000"/>
          <w:sz w:val="32"/>
          <w:szCs w:val="32"/>
        </w:rPr>
      </w:pPr>
    </w:p>
    <w:p w:rsidR="003C5FB2" w:rsidRDefault="003C5FB2"/>
    <w:sectPr w:rsidR="003C5FB2">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598" w:rsidRDefault="008E7598">
      <w:r>
        <w:separator/>
      </w:r>
    </w:p>
  </w:endnote>
  <w:endnote w:type="continuationSeparator" w:id="0">
    <w:p w:rsidR="008E7598" w:rsidRDefault="008E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FB2" w:rsidRDefault="008E7598">
    <w:pPr>
      <w:pStyle w:val="a4"/>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C5FB2" w:rsidRDefault="008E7598">
                          <w:pPr>
                            <w:pStyle w:val="a4"/>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2A25AD" w:rsidRPr="002A25AD">
                            <w:rPr>
                              <w:rFonts w:ascii="宋体" w:hAnsi="宋体"/>
                              <w:noProof/>
                              <w:sz w:val="28"/>
                              <w:szCs w:val="28"/>
                              <w:lang w:val="zh-CN"/>
                            </w:rPr>
                            <w:t>-</w:t>
                          </w:r>
                          <w:r w:rsidR="002A25AD">
                            <w:rPr>
                              <w:rFonts w:ascii="宋体" w:hAnsi="宋体"/>
                              <w:noProof/>
                              <w:sz w:val="28"/>
                              <w:szCs w:val="28"/>
                            </w:rPr>
                            <w:t xml:space="preserve"> 7 -</w:t>
                          </w:r>
                          <w:r>
                            <w:rPr>
                              <w:rFonts w:ascii="宋体" w:hAnsi="宋体"/>
                              <w:sz w:val="28"/>
                              <w:szCs w:val="2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0" type="#_x0000_t202" style="position:absolute;left:0;text-align:left;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3C5FB2" w:rsidRDefault="008E7598">
                    <w:pPr>
                      <w:pStyle w:val="a4"/>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2A25AD" w:rsidRPr="002A25AD">
                      <w:rPr>
                        <w:rFonts w:ascii="宋体" w:hAnsi="宋体"/>
                        <w:noProof/>
                        <w:sz w:val="28"/>
                        <w:szCs w:val="28"/>
                        <w:lang w:val="zh-CN"/>
                      </w:rPr>
                      <w:t>-</w:t>
                    </w:r>
                    <w:r w:rsidR="002A25AD">
                      <w:rPr>
                        <w:rFonts w:ascii="宋体" w:hAnsi="宋体"/>
                        <w:noProof/>
                        <w:sz w:val="28"/>
                        <w:szCs w:val="28"/>
                      </w:rPr>
                      <w:t xml:space="preserve"> 7 -</w:t>
                    </w:r>
                    <w:r>
                      <w:rPr>
                        <w:rFonts w:ascii="宋体" w:hAnsi="宋体"/>
                        <w:sz w:val="28"/>
                        <w:szCs w:val="28"/>
                      </w:rPr>
                      <w:fldChar w:fldCharType="end"/>
                    </w:r>
                  </w:p>
                </w:txbxContent>
              </v:textbox>
              <w10:wrap anchorx="margin"/>
            </v:shape>
          </w:pict>
        </mc:Fallback>
      </mc:AlternateContent>
    </w:r>
  </w:p>
  <w:p w:rsidR="003C5FB2" w:rsidRDefault="003C5FB2">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598" w:rsidRDefault="008E7598">
      <w:r>
        <w:separator/>
      </w:r>
    </w:p>
  </w:footnote>
  <w:footnote w:type="continuationSeparator" w:id="0">
    <w:p w:rsidR="008E7598" w:rsidRDefault="008E75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iZTNlZjFkZjYzZGIzYTU5YzgyMjE4MzFjZTExOWIifQ=="/>
  </w:docVars>
  <w:rsids>
    <w:rsidRoot w:val="13BB320E"/>
    <w:rsid w:val="002A25AD"/>
    <w:rsid w:val="003C5FB2"/>
    <w:rsid w:val="0064531E"/>
    <w:rsid w:val="007B3F70"/>
    <w:rsid w:val="008E7598"/>
    <w:rsid w:val="00951F94"/>
    <w:rsid w:val="00FD106D"/>
    <w:rsid w:val="01925F3E"/>
    <w:rsid w:val="03E96EE4"/>
    <w:rsid w:val="07623CA2"/>
    <w:rsid w:val="09B07E53"/>
    <w:rsid w:val="0C9E7975"/>
    <w:rsid w:val="0DA25D4B"/>
    <w:rsid w:val="11166833"/>
    <w:rsid w:val="13BB320E"/>
    <w:rsid w:val="162C09E9"/>
    <w:rsid w:val="163B190C"/>
    <w:rsid w:val="16825592"/>
    <w:rsid w:val="16A7324A"/>
    <w:rsid w:val="186F2E91"/>
    <w:rsid w:val="1A40295F"/>
    <w:rsid w:val="1C0A168B"/>
    <w:rsid w:val="1FED5BDF"/>
    <w:rsid w:val="214F5EEA"/>
    <w:rsid w:val="21A87939"/>
    <w:rsid w:val="21E800D1"/>
    <w:rsid w:val="22804455"/>
    <w:rsid w:val="23AC3027"/>
    <w:rsid w:val="23DA1943"/>
    <w:rsid w:val="2432352D"/>
    <w:rsid w:val="25A1012D"/>
    <w:rsid w:val="2B1A3740"/>
    <w:rsid w:val="2B465B0F"/>
    <w:rsid w:val="2BE55328"/>
    <w:rsid w:val="34362BC5"/>
    <w:rsid w:val="35702107"/>
    <w:rsid w:val="392A081F"/>
    <w:rsid w:val="3B911029"/>
    <w:rsid w:val="3D677509"/>
    <w:rsid w:val="40CF66B5"/>
    <w:rsid w:val="41A87AE6"/>
    <w:rsid w:val="42984A4B"/>
    <w:rsid w:val="44E95A32"/>
    <w:rsid w:val="48013092"/>
    <w:rsid w:val="485E2293"/>
    <w:rsid w:val="491B247A"/>
    <w:rsid w:val="4BD5286C"/>
    <w:rsid w:val="4DE1476B"/>
    <w:rsid w:val="4E6A373F"/>
    <w:rsid w:val="4E922C96"/>
    <w:rsid w:val="4FFC6641"/>
    <w:rsid w:val="507A4D44"/>
    <w:rsid w:val="53321906"/>
    <w:rsid w:val="547D085A"/>
    <w:rsid w:val="54E332B9"/>
    <w:rsid w:val="56544185"/>
    <w:rsid w:val="573963A5"/>
    <w:rsid w:val="585B2803"/>
    <w:rsid w:val="58C6010C"/>
    <w:rsid w:val="59613991"/>
    <w:rsid w:val="5A7A2F5C"/>
    <w:rsid w:val="5CB12E81"/>
    <w:rsid w:val="5D11258C"/>
    <w:rsid w:val="5DD20907"/>
    <w:rsid w:val="606062C2"/>
    <w:rsid w:val="62564048"/>
    <w:rsid w:val="62593D9F"/>
    <w:rsid w:val="6472615A"/>
    <w:rsid w:val="64B13A1E"/>
    <w:rsid w:val="651D10B4"/>
    <w:rsid w:val="6D374CDD"/>
    <w:rsid w:val="6D677739"/>
    <w:rsid w:val="6EC425A0"/>
    <w:rsid w:val="72347A3D"/>
    <w:rsid w:val="72AF5315"/>
    <w:rsid w:val="74642220"/>
    <w:rsid w:val="7B61402E"/>
    <w:rsid w:val="7BFB100C"/>
    <w:rsid w:val="7C5036C5"/>
    <w:rsid w:val="7D6D72DF"/>
    <w:rsid w:val="7EE3252A"/>
    <w:rsid w:val="7FEF6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eastAsia="楷体_GB2312"/>
      <w:sz w:val="32"/>
      <w:szCs w:val="20"/>
    </w:r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Balloon Text"/>
    <w:basedOn w:val="a"/>
    <w:link w:val="Char"/>
    <w:rsid w:val="00FD106D"/>
    <w:rPr>
      <w:sz w:val="18"/>
      <w:szCs w:val="18"/>
    </w:rPr>
  </w:style>
  <w:style w:type="character" w:customStyle="1" w:styleId="Char">
    <w:name w:val="批注框文本 Char"/>
    <w:basedOn w:val="a0"/>
    <w:link w:val="a5"/>
    <w:rsid w:val="00FD106D"/>
    <w:rPr>
      <w:rFonts w:ascii="Times New Roman" w:eastAsia="宋体" w:hAnsi="Times New Roman" w:cs="Droid Sans"/>
      <w:kern w:val="2"/>
      <w:sz w:val="18"/>
      <w:szCs w:val="18"/>
    </w:rPr>
  </w:style>
  <w:style w:type="paragraph" w:styleId="a6">
    <w:name w:val="header"/>
    <w:basedOn w:val="a"/>
    <w:link w:val="Char0"/>
    <w:rsid w:val="006453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64531E"/>
    <w:rPr>
      <w:rFonts w:ascii="Times New Roman" w:eastAsia="宋体" w:hAnsi="Times New Roman" w:cs="Droid Sans"/>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pPr>
      <w:widowControl w:val="0"/>
      <w:jc w:val="both"/>
    </w:pPr>
    <w:rPr>
      <w:rFonts w:ascii="Times New Roman" w:eastAsia="宋体" w:hAnsi="Times New Roman" w:cs="Droid Sans"/>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rPr>
      <w:rFonts w:eastAsia="楷体_GB2312"/>
      <w:sz w:val="32"/>
      <w:szCs w:val="20"/>
    </w:rPr>
  </w:style>
  <w:style w:type="paragraph" w:styleId="a4">
    <w:name w:val="footer"/>
    <w:basedOn w:val="a"/>
    <w:uiPriority w:val="99"/>
    <w:qFormat/>
    <w:pPr>
      <w:tabs>
        <w:tab w:val="center" w:pos="4153"/>
        <w:tab w:val="right" w:pos="8306"/>
      </w:tabs>
      <w:snapToGrid w:val="0"/>
      <w:jc w:val="left"/>
    </w:pPr>
    <w:rPr>
      <w:sz w:val="18"/>
      <w:szCs w:val="20"/>
    </w:rPr>
  </w:style>
  <w:style w:type="paragraph" w:styleId="a5">
    <w:name w:val="Balloon Text"/>
    <w:basedOn w:val="a"/>
    <w:link w:val="Char"/>
    <w:rsid w:val="00FD106D"/>
    <w:rPr>
      <w:sz w:val="18"/>
      <w:szCs w:val="18"/>
    </w:rPr>
  </w:style>
  <w:style w:type="character" w:customStyle="1" w:styleId="Char">
    <w:name w:val="批注框文本 Char"/>
    <w:basedOn w:val="a0"/>
    <w:link w:val="a5"/>
    <w:rsid w:val="00FD106D"/>
    <w:rPr>
      <w:rFonts w:ascii="Times New Roman" w:eastAsia="宋体" w:hAnsi="Times New Roman" w:cs="Droid Sans"/>
      <w:kern w:val="2"/>
      <w:sz w:val="18"/>
      <w:szCs w:val="18"/>
    </w:rPr>
  </w:style>
  <w:style w:type="paragraph" w:styleId="a6">
    <w:name w:val="header"/>
    <w:basedOn w:val="a"/>
    <w:link w:val="Char0"/>
    <w:rsid w:val="0064531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64531E"/>
    <w:rPr>
      <w:rFonts w:ascii="Times New Roman" w:eastAsia="宋体" w:hAnsi="Times New Roman" w:cs="Droid Sans"/>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charts/_rels/chart1.xml.rels><?xml version="1.0" encoding="UTF-8" standalone="yes"?>
<Relationships xmlns="http://schemas.openxmlformats.org/package/2006/relationships"><Relationship Id="rId2" Type="http://schemas.openxmlformats.org/officeDocument/2006/relationships/oleObject" Target="file:///D:\&#24494;&#20449;&#25991;&#20214;&#19979;&#36733;\WeChat%20Files\lili471243515\FileStorage\File\2023-02\&#22270;&#21703;&#22270;(1).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30045967404931101"/>
          <c:y val="0.25974025974025999"/>
          <c:w val="0.40855272322050401"/>
          <c:h val="0.69256198347107401"/>
        </c:manualLayout>
      </c:layout>
      <c:pieChart>
        <c:varyColors val="1"/>
        <c:ser>
          <c:idx val="0"/>
          <c:order val="0"/>
          <c:spPr>
            <a:solidFill>
              <a:srgbClr val="859949"/>
            </a:solidFill>
            <a:ln w="31750">
              <a:solidFill>
                <a:srgbClr val="FFFFFF">
                  <a:alpha val="42000"/>
                </a:srgbClr>
              </a:solidFill>
            </a:ln>
          </c:spPr>
          <c:dPt>
            <c:idx val="0"/>
            <c:bubble3D val="0"/>
            <c:spPr>
              <a:solidFill>
                <a:srgbClr val="4472C4">
                  <a:lumMod val="75000"/>
                </a:srgbClr>
              </a:solidFill>
              <a:ln w="31750">
                <a:solidFill>
                  <a:srgbClr val="FFFFFF">
                    <a:alpha val="42000"/>
                  </a:srgbClr>
                </a:solidFill>
              </a:ln>
              <a:effectLst/>
            </c:spPr>
          </c:dPt>
          <c:dPt>
            <c:idx val="1"/>
            <c:bubble3D val="0"/>
            <c:spPr>
              <a:solidFill>
                <a:srgbClr val="ED7D31">
                  <a:lumMod val="75000"/>
                </a:srgbClr>
              </a:solidFill>
              <a:ln w="31750">
                <a:solidFill>
                  <a:srgbClr val="FFFFFF">
                    <a:alpha val="42000"/>
                  </a:srgbClr>
                </a:solidFill>
              </a:ln>
              <a:effectLst/>
            </c:spPr>
          </c:dPt>
          <c:dPt>
            <c:idx val="2"/>
            <c:bubble3D val="0"/>
            <c:spPr>
              <a:solidFill>
                <a:srgbClr val="FFFF00"/>
              </a:solidFill>
              <a:ln w="31750">
                <a:solidFill>
                  <a:srgbClr val="FFFFFF">
                    <a:alpha val="42000"/>
                  </a:srgbClr>
                </a:solidFill>
              </a:ln>
              <a:effectLst/>
            </c:spPr>
          </c:dPt>
          <c:dPt>
            <c:idx val="3"/>
            <c:bubble3D val="0"/>
            <c:spPr>
              <a:gradFill>
                <a:gsLst>
                  <a:gs pos="0">
                    <a:srgbClr val="14CD68"/>
                  </a:gs>
                  <a:gs pos="100000">
                    <a:srgbClr val="035C7D"/>
                  </a:gs>
                </a:gsLst>
                <a:lin scaled="0"/>
              </a:gradFill>
              <a:ln w="31750">
                <a:solidFill>
                  <a:srgbClr val="FFFFFF">
                    <a:alpha val="42000"/>
                  </a:srgbClr>
                </a:solidFill>
              </a:ln>
              <a:effectLst/>
            </c:spPr>
          </c:dPt>
          <c:dLbls>
            <c:dLbl>
              <c:idx val="0"/>
              <c:layout>
                <c:manualLayout>
                  <c:x val="-5.4229451431353198E-3"/>
                  <c:y val="1.97046694308744E-2"/>
                </c:manualLayout>
              </c:layout>
              <c:tx>
                <c:rich>
                  <a:bodyPr rot="0" spcFirstLastPara="0" vertOverflow="ellipsis" vert="horz" wrap="square" lIns="38100" tIns="19050" rIns="38100" bIns="19050" anchor="ctr" anchorCtr="1"/>
                  <a:lstStyle/>
                  <a:p>
                    <a:pPr defTabSz="914400">
                      <a:defRPr lang="zh-CN" sz="900" b="0" i="0" u="none" strike="noStrike" kern="1200" cap="none" spc="0" normalizeH="0" baseline="0">
                        <a:solidFill>
                          <a:schemeClr val="tx1">
                            <a:lumMod val="85000"/>
                            <a:lumOff val="15000"/>
                          </a:schemeClr>
                        </a:solidFill>
                        <a:uFill>
                          <a:solidFill>
                            <a:schemeClr val="tx1"/>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u="none" strike="noStrike" cap="none" normalizeH="0">
                        <a:solidFill>
                          <a:schemeClr val="tx1">
                            <a:lumMod val="85000"/>
                            <a:lumOff val="15000"/>
                          </a:schemeClr>
                        </a:solidFill>
                        <a:uFill>
                          <a:solidFill>
                            <a:schemeClr val="tx1"/>
                          </a:solidFill>
                        </a:uFill>
                        <a:latin typeface="微软雅黑" panose="020B0503020204020204" charset="-122"/>
                      </a:rPr>
                      <a:t>79.73</a:t>
                    </a:r>
                    <a:r>
                      <a:rPr lang="en-US" u="none" strike="noStrike" cap="none" normalizeH="0">
                        <a:solidFill>
                          <a:schemeClr val="tx1">
                            <a:lumMod val="85000"/>
                            <a:lumOff val="15000"/>
                          </a:schemeClr>
                        </a:solidFill>
                        <a:uFill>
                          <a:solidFill>
                            <a:schemeClr val="tx1"/>
                          </a:solidFill>
                        </a:uFill>
                        <a:latin typeface="微软雅黑" panose="020B0503020204020204" charset="-122"/>
                      </a:rPr>
                      <a:t>%</a:t>
                    </a:r>
                  </a:p>
                </c:rich>
              </c:tx>
              <c:spPr>
                <a:noFill/>
                <a:ln>
                  <a:noFill/>
                </a:ln>
                <a:effectLst/>
              </c:spPr>
              <c:dLblPos val="bestFit"/>
              <c:showLegendKey val="0"/>
              <c:showVal val="0"/>
              <c:showCatName val="0"/>
              <c:showSerName val="0"/>
              <c:showPercent val="1"/>
              <c:showBubbleSize val="0"/>
            </c:dLbl>
            <c:dLbl>
              <c:idx val="1"/>
              <c:layout>
                <c:manualLayout>
                  <c:x val="-2.6250685367412999E-2"/>
                  <c:y val="2.5863786568839801E-2"/>
                </c:manualLayout>
              </c:layout>
              <c:tx>
                <c:rich>
                  <a:bodyPr rot="0" spcFirstLastPara="0" vertOverflow="ellipsis" vert="horz" wrap="square" lIns="38100" tIns="19050" rIns="38100" bIns="19050" anchor="ctr" anchorCtr="1"/>
                  <a:lstStyle/>
                  <a:p>
                    <a:pPr defTabSz="914400">
                      <a:defRPr lang="zh-CN" sz="900" b="0" i="0" u="none" strike="noStrike" kern="1200" cap="none" spc="0" normalizeH="0" baseline="0">
                        <a:solidFill>
                          <a:schemeClr val="tx1">
                            <a:lumMod val="85000"/>
                            <a:lumOff val="15000"/>
                          </a:schemeClr>
                        </a:solidFill>
                        <a:uFill>
                          <a:solidFill>
                            <a:schemeClr val="tx1"/>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u="none" strike="noStrike" cap="none" normalizeH="0">
                        <a:solidFill>
                          <a:schemeClr val="tx1">
                            <a:lumMod val="85000"/>
                            <a:lumOff val="15000"/>
                          </a:schemeClr>
                        </a:solidFill>
                        <a:uFill>
                          <a:solidFill>
                            <a:schemeClr val="tx1"/>
                          </a:solidFill>
                        </a:uFill>
                        <a:latin typeface="微软雅黑" panose="020B0503020204020204" charset="-122"/>
                      </a:rPr>
                      <a:t>19.21%</a:t>
                    </a:r>
                  </a:p>
                </c:rich>
              </c:tx>
              <c:spPr>
                <a:noFill/>
                <a:ln>
                  <a:noFill/>
                </a:ln>
                <a:effectLst/>
              </c:spPr>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3.23717380873388E-2"/>
                  <c:y val="-3.0256280449012799E-2"/>
                </c:manualLayout>
              </c:layout>
              <c:tx>
                <c:rich>
                  <a:bodyPr rot="0" spcFirstLastPara="0" vertOverflow="ellipsis" vert="horz" wrap="square" lIns="38100" tIns="19050" rIns="38100" bIns="19050" anchor="ctr" anchorCtr="1"/>
                  <a:lstStyle/>
                  <a:p>
                    <a:pPr defTabSz="914400">
                      <a:defRPr lang="zh-CN" sz="900" b="0" i="0" u="none" strike="noStrike" kern="1200" cap="none" spc="0" normalizeH="0" baseline="0">
                        <a:solidFill>
                          <a:schemeClr val="tx1">
                            <a:lumMod val="85000"/>
                            <a:lumOff val="15000"/>
                          </a:schemeClr>
                        </a:solidFill>
                        <a:uFill>
                          <a:solidFill>
                            <a:schemeClr val="tx1"/>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u="none" strike="noStrike" cap="none" normalizeH="0">
                        <a:solidFill>
                          <a:schemeClr val="tx1">
                            <a:lumMod val="85000"/>
                            <a:lumOff val="15000"/>
                          </a:schemeClr>
                        </a:solidFill>
                        <a:uFill>
                          <a:solidFill>
                            <a:schemeClr val="tx1"/>
                          </a:solidFill>
                        </a:uFill>
                        <a:latin typeface="微软雅黑" panose="020B0503020204020204" charset="-122"/>
                      </a:rPr>
                      <a:t>0.76%</a:t>
                    </a:r>
                  </a:p>
                </c:rich>
              </c:tx>
              <c:spPr>
                <a:noFill/>
                <a:ln>
                  <a:noFill/>
                </a:ln>
                <a:effectLst/>
              </c:spPr>
              <c:dLblPos val="bestFit"/>
              <c:showLegendKey val="0"/>
              <c:showVal val="0"/>
              <c:showCatName val="0"/>
              <c:showSerName val="0"/>
              <c:showPercent val="1"/>
              <c:showBubbleSize val="0"/>
              <c:extLst>
                <c:ext xmlns:c15="http://schemas.microsoft.com/office/drawing/2012/chart" uri="{CE6537A1-D6FC-4f65-9D91-7224C49458BB}">
                  <c15:layout>
                    <c:manualLayout>
                      <c:w val="0.0901055732875031"/>
                      <c:h val="0.050824788230049"/>
                    </c:manualLayout>
                  </c15:layout>
                </c:ext>
              </c:extLst>
            </c:dLbl>
            <c:dLbl>
              <c:idx val="3"/>
              <c:layout>
                <c:manualLayout>
                  <c:x val="6.3674884421820802E-2"/>
                  <c:y val="7.1358461696222099E-3"/>
                </c:manualLayout>
              </c:layout>
              <c:tx>
                <c:rich>
                  <a:bodyPr rot="0" spcFirstLastPara="0" vertOverflow="ellipsis" vert="horz" wrap="square" lIns="38100" tIns="19050" rIns="38100" bIns="19050" anchor="ctr" anchorCtr="1"/>
                  <a:lstStyle/>
                  <a:p>
                    <a:pPr defTabSz="914400">
                      <a:defRPr lang="zh-CN" sz="900" b="0" i="0" u="none" strike="noStrike" kern="1200" cap="none" spc="0" normalizeH="0" baseline="0">
                        <a:solidFill>
                          <a:schemeClr val="tx1">
                            <a:lumMod val="85000"/>
                            <a:lumOff val="15000"/>
                          </a:schemeClr>
                        </a:solidFill>
                        <a:uFill>
                          <a:solidFill>
                            <a:schemeClr val="tx1"/>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r>
                      <a:rPr lang="en-US" altLang="zh-CN" u="none" strike="noStrike" cap="none" normalizeH="0">
                        <a:solidFill>
                          <a:schemeClr val="tx1">
                            <a:lumMod val="85000"/>
                            <a:lumOff val="15000"/>
                          </a:schemeClr>
                        </a:solidFill>
                        <a:uFill>
                          <a:solidFill>
                            <a:schemeClr val="tx1"/>
                          </a:solidFill>
                        </a:uFill>
                        <a:latin typeface="微软雅黑" panose="020B0503020204020204" charset="-122"/>
                      </a:rPr>
                      <a:t>0.30</a:t>
                    </a:r>
                    <a:r>
                      <a:rPr lang="en-US" u="none" strike="noStrike" cap="none" normalizeH="0">
                        <a:solidFill>
                          <a:schemeClr val="tx1">
                            <a:lumMod val="85000"/>
                            <a:lumOff val="15000"/>
                          </a:schemeClr>
                        </a:solidFill>
                        <a:uFill>
                          <a:solidFill>
                            <a:schemeClr val="tx1"/>
                          </a:solidFill>
                        </a:uFill>
                        <a:latin typeface="微软雅黑" panose="020B0503020204020204" charset="-122"/>
                      </a:rPr>
                      <a:t>%</a:t>
                    </a:r>
                  </a:p>
                </c:rich>
              </c:tx>
              <c:spPr>
                <a:noFill/>
                <a:ln>
                  <a:noFill/>
                </a:ln>
                <a:effectLst/>
              </c:spPr>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forceAA="0"/>
              <a:lstStyle/>
              <a:p>
                <a:pPr>
                  <a:defRPr lang="zh-CN" sz="900" b="0" i="0" u="none" strike="noStrike" kern="1200" cap="none" spc="0" normalizeH="0" baseline="0">
                    <a:solidFill>
                      <a:schemeClr val="tx1">
                        <a:lumMod val="85000"/>
                        <a:lumOff val="15000"/>
                      </a:schemeClr>
                    </a:solidFill>
                    <a:uFill>
                      <a:solidFill>
                        <a:schemeClr val="tx1"/>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round/>
                    </a:ln>
                    <a:effectLst/>
                  </c:spPr>
                </c15:leaderLines>
              </c:ext>
            </c:extLst>
          </c:dLbls>
          <c:cat>
            <c:strRef>
              <c:f>'D:\微信文件下载\WeChat Files\lili471243515\FileStorage\File\2023-02\[工作簿1]Sheet1'!$H$5:$H$8</c:f>
              <c:strCache>
                <c:ptCount val="4"/>
                <c:pt idx="0">
                  <c:v>一般公共预算拨款收入</c:v>
                </c:pt>
                <c:pt idx="1">
                  <c:v>事业收入</c:v>
                </c:pt>
                <c:pt idx="2">
                  <c:v>其他收入</c:v>
                </c:pt>
                <c:pt idx="3">
                  <c:v>上年结转结余</c:v>
                </c:pt>
              </c:strCache>
            </c:strRef>
          </c:cat>
          <c:val>
            <c:numRef>
              <c:f>'D:\微信文件下载\WeChat Files\lili471243515\FileStorage\File\2023-02\[工作簿1]Sheet1'!$I$5:$I$8</c:f>
              <c:numCache>
                <c:formatCode>General</c:formatCode>
                <c:ptCount val="4"/>
                <c:pt idx="0">
                  <c:v>5283.35</c:v>
                </c:pt>
                <c:pt idx="1">
                  <c:v>1272.5899999999999</c:v>
                </c:pt>
                <c:pt idx="2">
                  <c:v>20</c:v>
                </c:pt>
                <c:pt idx="3">
                  <c:v>50.39</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r"/>
      <c:legendEntry>
        <c:idx val="0"/>
        <c:txPr>
          <a:bodyPr rot="0" spcFirstLastPara="0" vertOverflow="ellipsis" vert="horz" wrap="square" anchor="ctr" anchorCtr="1"/>
          <a:lstStyle/>
          <a:p>
            <a:pPr>
              <a:defRPr lang="zh-CN" sz="900" b="0" i="0" u="none" strike="noStrike" kern="1200" cap="none" spc="0" normalizeH="0" baseline="0">
                <a:solidFill>
                  <a:schemeClr val="tx1">
                    <a:lumMod val="85000"/>
                    <a:lumOff val="15000"/>
                  </a:schemeClr>
                </a:solidFill>
                <a:uFill>
                  <a:solidFill>
                    <a:srgbClr val="595959">
                      <a:lumMod val="65000"/>
                      <a:lumOff val="35000"/>
                    </a:srgbClr>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egendEntry>
        <c:idx val="1"/>
        <c:txPr>
          <a:bodyPr rot="0" spcFirstLastPara="0" vertOverflow="ellipsis" vert="horz" wrap="square" anchor="ctr" anchorCtr="1"/>
          <a:lstStyle/>
          <a:p>
            <a:pPr>
              <a:defRPr lang="zh-CN" sz="900" b="0" i="0" u="none" strike="noStrike" kern="1200" cap="none" spc="0" normalizeH="0" baseline="0">
                <a:solidFill>
                  <a:schemeClr val="tx1">
                    <a:lumMod val="85000"/>
                    <a:lumOff val="15000"/>
                  </a:schemeClr>
                </a:solidFill>
                <a:uFill>
                  <a:solidFill>
                    <a:srgbClr val="595959">
                      <a:lumMod val="65000"/>
                      <a:lumOff val="35000"/>
                    </a:srgbClr>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egendEntry>
        <c:idx val="2"/>
        <c:txPr>
          <a:bodyPr rot="0" spcFirstLastPara="0" vertOverflow="ellipsis" vert="horz" wrap="square" anchor="ctr" anchorCtr="1"/>
          <a:lstStyle/>
          <a:p>
            <a:pPr>
              <a:defRPr lang="zh-CN" sz="900" b="0" i="0" u="none" strike="noStrike" kern="1200" cap="none" spc="0" normalizeH="0" baseline="0">
                <a:solidFill>
                  <a:schemeClr val="tx1">
                    <a:lumMod val="85000"/>
                    <a:lumOff val="15000"/>
                  </a:schemeClr>
                </a:solidFill>
                <a:uFill>
                  <a:solidFill>
                    <a:srgbClr val="595959">
                      <a:lumMod val="65000"/>
                      <a:lumOff val="35000"/>
                    </a:srgbClr>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egendEntry>
        <c:idx val="3"/>
        <c:txPr>
          <a:bodyPr rot="0" spcFirstLastPara="0" vertOverflow="ellipsis" vert="horz" wrap="square" anchor="ctr" anchorCtr="1"/>
          <a:lstStyle/>
          <a:p>
            <a:pPr>
              <a:defRPr lang="zh-CN" sz="900" b="0" i="0" u="none" strike="noStrike" kern="1200" cap="none" spc="0" normalizeH="0" baseline="0">
                <a:solidFill>
                  <a:schemeClr val="tx1">
                    <a:lumMod val="85000"/>
                    <a:lumOff val="15000"/>
                  </a:schemeClr>
                </a:solidFill>
                <a:uFill>
                  <a:solidFill>
                    <a:srgbClr val="595959">
                      <a:lumMod val="65000"/>
                      <a:lumOff val="35000"/>
                    </a:srgbClr>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Entry>
      <c:layout>
        <c:manualLayout>
          <c:xMode val="edge"/>
          <c:yMode val="edge"/>
          <c:x val="0.75961021235981863"/>
          <c:y val="0.42346366534462299"/>
          <c:w val="0.23662285850632309"/>
          <c:h val="0.39241897751911448"/>
        </c:manualLayout>
      </c:layout>
      <c:overlay val="0"/>
      <c:spPr>
        <a:noFill/>
        <a:ln>
          <a:noFill/>
        </a:ln>
        <a:effectLst/>
      </c:spPr>
      <c:txPr>
        <a:bodyPr rot="0" spcFirstLastPara="0" vertOverflow="ellipsis" vert="horz" wrap="square" anchor="ctr" anchorCtr="1"/>
        <a:lstStyle/>
        <a:p>
          <a:pPr>
            <a:defRPr lang="zh-CN" sz="900" b="0" i="0" u="none" strike="noStrike" kern="1200" cap="none" spc="0" normalizeH="0" baseline="0">
              <a:solidFill>
                <a:schemeClr val="tx1">
                  <a:lumMod val="85000"/>
                  <a:lumOff val="15000"/>
                </a:schemeClr>
              </a:solidFill>
              <a:uFill>
                <a:solidFill>
                  <a:srgbClr val="595959">
                    <a:lumMod val="65000"/>
                    <a:lumOff val="35000"/>
                  </a:srgbClr>
                </a:solidFill>
              </a:u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legend>
    <c:plotVisOnly val="1"/>
    <c:dispBlanksAs val="gap"/>
    <c:showDLblsOverMax val="0"/>
  </c:chart>
  <c:spPr>
    <a:noFill/>
    <a:ln w="9525" cap="flat" cmpd="sng" algn="ctr">
      <a:solidFill>
        <a:sysClr val="windowText" lastClr="000000"/>
      </a:solidFill>
      <a:round/>
    </a:ln>
    <a:effectLst>
      <a:outerShdw blurRad="63500" dist="37357" dir="2700000" sx="0" sy="0" rotWithShape="0">
        <a:scrgbClr r="0" g="0" b="0"/>
      </a:outerShdw>
    </a:effectLst>
  </c:spPr>
  <c:txPr>
    <a:bodyPr/>
    <a:lstStyle/>
    <a:p>
      <a:pPr>
        <a:defRPr lang="zh-CN">
          <a:solidFill>
            <a:srgbClr val="595959">
              <a:lumMod val="65000"/>
              <a:lumOff val="35000"/>
            </a:srgbClr>
          </a:solidFill>
          <a:latin typeface="微软雅黑" panose="020B0503020204020204" charset="-122"/>
          <a:ea typeface="微软雅黑" panose="020B0503020204020204" charset="-122"/>
          <a:cs typeface="微软雅黑" panose="020B0503020204020204" charset="-122"/>
          <a:sym typeface="微软雅黑" panose="020B0503020204020204" charset="-122"/>
        </a:defRPr>
      </a:pPr>
      <a:endParaRPr lang="zh-CN"/>
    </a:p>
  </c:txPr>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rgbClr val="FFFFFF"/>
      </a:solidFill>
      <a:gradFill rotWithShape="1">
        <a:gsLst>
          <a:gs pos="0">
            <a:srgbClr val="FFFFFF">
              <a:lumMod val="110000"/>
              <a:satMod val="105000"/>
              <a:tint val="67000"/>
            </a:srgbClr>
          </a:gs>
          <a:gs pos="50000">
            <a:srgbClr val="FFFFFF">
              <a:lumMod val="105000"/>
              <a:satMod val="103000"/>
              <a:tint val="73000"/>
            </a:srgbClr>
          </a:gs>
          <a:gs pos="100000">
            <a:srgbClr val="FFFFFF">
              <a:lumMod val="105000"/>
              <a:satMod val="109000"/>
              <a:tint val="81000"/>
            </a:srgbClr>
          </a:gs>
        </a:gsLst>
        <a:lin ang="5400000" scaled="0"/>
      </a:gradFill>
      <a:gradFill rotWithShape="1">
        <a:gsLst>
          <a:gs pos="0">
            <a:srgbClr val="FFFFFF">
              <a:satMod val="103000"/>
              <a:lumMod val="102000"/>
              <a:tint val="94000"/>
            </a:srgbClr>
          </a:gs>
          <a:gs pos="50000">
            <a:srgbClr val="FFFFFF">
              <a:satMod val="110000"/>
              <a:lumMod val="100000"/>
              <a:shade val="100000"/>
            </a:srgbClr>
          </a:gs>
          <a:gs pos="100000">
            <a:srgbClr val="E2E2E2">
              <a:lumMod val="99000"/>
              <a:satMod val="120000"/>
              <a:shade val="78000"/>
            </a:srgbClr>
          </a:gs>
        </a:gsLst>
        <a:lin ang="5400000" scaled="0"/>
      </a:gradFill>
    </a:fillStyleLst>
    <a:lnStyleLst>
      <a:ln w="6350" cap="flat" cmpd="sng" algn="ctr">
        <a:solidFill>
          <a:srgbClr val="FFFFFF"/>
        </a:solidFill>
        <a:prstDash val="solid"/>
        <a:miter lim="800000"/>
      </a:ln>
      <a:ln w="12700" cap="flat" cmpd="sng" algn="ctr">
        <a:solidFill>
          <a:srgbClr val="FFFFFF"/>
        </a:solidFill>
        <a:prstDash val="solid"/>
        <a:miter lim="800000"/>
      </a:ln>
      <a:ln w="19050" cap="flat" cmpd="sng" algn="ctr">
        <a:solidFill>
          <a:srgbClr val="FFFFFF"/>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rgbClr val="FFFFFF"/>
      </a:solidFill>
      <a:solidFill>
        <a:srgbClr val="FFFFFF">
          <a:tint val="95000"/>
          <a:satMod val="170000"/>
        </a:srgbClr>
      </a:solidFill>
      <a:gradFill rotWithShape="1">
        <a:gsLst>
          <a:gs pos="0">
            <a:srgbClr val="FFFFFF">
              <a:tint val="93000"/>
              <a:satMod val="150000"/>
              <a:shade val="98000"/>
              <a:lumMod val="102000"/>
            </a:srgbClr>
          </a:gs>
          <a:gs pos="50000">
            <a:srgbClr val="FBFBFB">
              <a:tint val="98000"/>
              <a:satMod val="130000"/>
              <a:shade val="90000"/>
              <a:lumMod val="103000"/>
            </a:srgbClr>
          </a:gs>
          <a:gs pos="100000">
            <a:srgbClr val="D0D0D0">
              <a:shade val="63000"/>
              <a:satMod val="120000"/>
            </a:srgb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188****7023</dc:creator>
  <cp:lastModifiedBy>DELL</cp:lastModifiedBy>
  <cp:revision>6</cp:revision>
  <dcterms:created xsi:type="dcterms:W3CDTF">2023-02-16T09:29:00Z</dcterms:created>
  <dcterms:modified xsi:type="dcterms:W3CDTF">2023-02-21T07:08:00Z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6934FFE67666457F9FAFA39F08807919</vt:lpwstr>
  </property>
</Properties>
</file>