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9B6F5">
      <w:pPr>
        <w:tabs>
          <w:tab w:val="left" w:pos="6630"/>
        </w:tabs>
        <w:spacing w:line="360" w:lineRule="auto"/>
        <w:rPr>
          <w:rFonts w:hint="eastAsia" w:ascii="CESI黑体-GB2312" w:hAnsi="CESI黑体-GB2312" w:eastAsia="CESI黑体-GB2312" w:cs="CESI黑体-GB2312"/>
          <w:color w:val="000000"/>
          <w:sz w:val="32"/>
          <w:szCs w:val="32"/>
          <w:u w:val="none"/>
        </w:rPr>
      </w:pPr>
    </w:p>
    <w:p w14:paraId="513F293C">
      <w:pPr>
        <w:spacing w:line="560" w:lineRule="exact"/>
        <w:jc w:val="both"/>
        <w:rPr>
          <w:rFonts w:hint="eastAsia" w:ascii="黑体" w:hAnsi="黑体" w:eastAsia="黑体" w:cs="黑体"/>
          <w:color w:val="auto"/>
          <w:sz w:val="36"/>
          <w:szCs w:val="36"/>
          <w:u w:val="none"/>
          <w:lang w:eastAsia="zh-CN"/>
        </w:rPr>
      </w:pPr>
    </w:p>
    <w:p w14:paraId="7E81AECD">
      <w:pPr>
        <w:spacing w:line="560" w:lineRule="exact"/>
        <w:jc w:val="center"/>
        <w:rPr>
          <w:rFonts w:hint="eastAsia" w:ascii="方正小标宋简体" w:eastAsia="方正小标宋简体"/>
          <w:color w:val="auto"/>
          <w:sz w:val="44"/>
          <w:szCs w:val="44"/>
          <w:u w:val="none"/>
        </w:rPr>
      </w:pPr>
      <w:r>
        <w:rPr>
          <w:rFonts w:hint="eastAsia" w:ascii="方正小标宋简体" w:eastAsia="方正小标宋简体"/>
          <w:color w:val="auto"/>
          <w:sz w:val="44"/>
          <w:szCs w:val="44"/>
          <w:u w:val="none"/>
          <w:lang w:eastAsia="zh-CN"/>
        </w:rPr>
        <w:t>北京市地热调查研究所2025</w:t>
      </w:r>
      <w:r>
        <w:rPr>
          <w:rFonts w:hint="eastAsia" w:ascii="方正小标宋简体" w:eastAsia="方正小标宋简体"/>
          <w:color w:val="auto"/>
          <w:sz w:val="44"/>
          <w:szCs w:val="44"/>
          <w:u w:val="none"/>
          <w:lang w:val="en-US" w:eastAsia="zh-CN"/>
        </w:rPr>
        <w:t>年度单位</w:t>
      </w:r>
      <w:r>
        <w:rPr>
          <w:rFonts w:hint="eastAsia" w:ascii="方正小标宋简体" w:eastAsia="方正小标宋简体"/>
          <w:color w:val="auto"/>
          <w:sz w:val="44"/>
          <w:szCs w:val="44"/>
          <w:u w:val="none"/>
        </w:rPr>
        <w:t>预算信息公开</w:t>
      </w:r>
    </w:p>
    <w:p w14:paraId="4F39CE0D">
      <w:pPr>
        <w:bidi w:val="0"/>
        <w:rPr>
          <w:rFonts w:hint="eastAsia"/>
        </w:rPr>
      </w:pPr>
    </w:p>
    <w:p w14:paraId="023C1EF4">
      <w:pPr>
        <w:spacing w:line="560" w:lineRule="exact"/>
        <w:jc w:val="center"/>
        <w:rPr>
          <w:rFonts w:hint="eastAsia"/>
        </w:rPr>
      </w:pPr>
      <w:r>
        <w:rPr>
          <w:rFonts w:hint="eastAsia" w:ascii="方正小标宋简体" w:eastAsia="方正小标宋简体"/>
          <w:color w:val="000000"/>
          <w:sz w:val="32"/>
          <w:szCs w:val="32"/>
          <w:u w:val="none"/>
        </w:rPr>
        <w:t>目   录</w:t>
      </w:r>
    </w:p>
    <w:p w14:paraId="3D9147F7">
      <w:pPr>
        <w:pStyle w:val="2"/>
        <w:bidi w:val="0"/>
        <w:rPr>
          <w:rFonts w:hint="eastAsia"/>
        </w:rPr>
      </w:pPr>
    </w:p>
    <w:p w14:paraId="03050D9C">
      <w:pPr>
        <w:spacing w:line="240" w:lineRule="exact"/>
        <w:jc w:val="center"/>
        <w:rPr>
          <w:rFonts w:hint="eastAsia" w:ascii="方正小标宋简体" w:eastAsia="方正小标宋简体"/>
          <w:color w:val="000000"/>
          <w:sz w:val="32"/>
          <w:szCs w:val="32"/>
        </w:rPr>
      </w:pPr>
    </w:p>
    <w:p w14:paraId="53D10A78">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 xml:space="preserve">第一部分 </w:t>
      </w:r>
      <w:r>
        <w:rPr>
          <w:rFonts w:hint="eastAsia" w:ascii="黑体" w:hAnsi="黑体" w:eastAsia="黑体" w:cs="黑体"/>
          <w:color w:val="000000"/>
          <w:sz w:val="32"/>
          <w:szCs w:val="32"/>
          <w:lang w:eastAsia="zh-CN"/>
        </w:rPr>
        <w:t>2025年</w:t>
      </w:r>
      <w:r>
        <w:rPr>
          <w:rFonts w:hint="eastAsia" w:ascii="黑体" w:hAnsi="黑体" w:eastAsia="黑体" w:cs="黑体"/>
          <w:color w:val="000000"/>
          <w:sz w:val="32"/>
          <w:szCs w:val="32"/>
        </w:rPr>
        <w:t>度单位预算情况说明</w:t>
      </w:r>
    </w:p>
    <w:p w14:paraId="475A80D2">
      <w:pPr>
        <w:spacing w:line="560" w:lineRule="exact"/>
        <w:ind w:firstLine="640" w:firstLineChars="200"/>
        <w:rPr>
          <w:rFonts w:hint="eastAsia"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w:t>
      </w:r>
      <w:r>
        <w:rPr>
          <w:rFonts w:hint="eastAsia" w:ascii="仿宋_GB2312" w:hAnsi="仿宋_GB2312" w:eastAsia="仿宋_GB2312" w:cs="仿宋_GB2312"/>
          <w:color w:val="000000"/>
          <w:sz w:val="32"/>
          <w:szCs w:val="32"/>
          <w:lang w:eastAsia="zh-CN"/>
        </w:rPr>
        <w:t>说明</w:t>
      </w:r>
    </w:p>
    <w:p w14:paraId="2821062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w:t>
      </w:r>
      <w:r>
        <w:rPr>
          <w:rFonts w:hint="eastAsia" w:ascii="仿宋_GB2312" w:hAnsi="仿宋_GB2312" w:eastAsia="仿宋_GB2312" w:cs="仿宋_GB2312"/>
          <w:color w:val="000000"/>
          <w:sz w:val="32"/>
          <w:szCs w:val="32"/>
          <w:lang w:eastAsia="zh-CN"/>
        </w:rPr>
        <w:t>预算</w:t>
      </w:r>
      <w:r>
        <w:rPr>
          <w:rFonts w:hint="eastAsia" w:ascii="仿宋_GB2312" w:hAnsi="仿宋_GB2312" w:eastAsia="仿宋_GB2312" w:cs="仿宋_GB2312"/>
          <w:color w:val="000000"/>
          <w:sz w:val="32"/>
          <w:szCs w:val="32"/>
        </w:rPr>
        <w:t>情况</w:t>
      </w:r>
      <w:r>
        <w:rPr>
          <w:rFonts w:hint="eastAsia" w:ascii="仿宋_GB2312" w:hAnsi="仿宋_GB2312" w:eastAsia="仿宋_GB2312" w:cs="仿宋_GB2312"/>
          <w:color w:val="000000"/>
          <w:sz w:val="32"/>
          <w:szCs w:val="32"/>
          <w:lang w:eastAsia="zh-CN"/>
        </w:rPr>
        <w:t>说明</w:t>
      </w:r>
    </w:p>
    <w:p w14:paraId="75FA864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w:t>
      </w:r>
      <w:r>
        <w:rPr>
          <w:rFonts w:hint="eastAsia" w:ascii="仿宋_GB2312" w:hAnsi="仿宋_GB2312" w:eastAsia="仿宋_GB2312" w:cs="仿宋_GB2312"/>
          <w:color w:val="000000"/>
          <w:sz w:val="32"/>
          <w:szCs w:val="32"/>
          <w:lang w:eastAsia="zh-CN"/>
        </w:rPr>
        <w:t>预算</w:t>
      </w:r>
      <w:r>
        <w:rPr>
          <w:rFonts w:hint="eastAsia" w:ascii="仿宋_GB2312" w:hAnsi="仿宋_GB2312" w:eastAsia="仿宋_GB2312" w:cs="仿宋_GB2312"/>
          <w:color w:val="000000"/>
          <w:sz w:val="32"/>
          <w:szCs w:val="32"/>
        </w:rPr>
        <w:t>情况</w:t>
      </w:r>
      <w:r>
        <w:rPr>
          <w:rFonts w:hint="eastAsia" w:ascii="仿宋_GB2312" w:hAnsi="仿宋_GB2312" w:eastAsia="仿宋_GB2312" w:cs="仿宋_GB2312"/>
          <w:color w:val="000000"/>
          <w:sz w:val="32"/>
          <w:szCs w:val="32"/>
          <w:lang w:eastAsia="zh-CN"/>
        </w:rPr>
        <w:t>说明</w:t>
      </w:r>
    </w:p>
    <w:p w14:paraId="4B4C95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w:t>
      </w:r>
      <w:r>
        <w:rPr>
          <w:rFonts w:hint="eastAsia" w:ascii="仿宋_GB2312" w:hAnsi="仿宋_GB2312" w:eastAsia="仿宋_GB2312" w:cs="仿宋_GB2312"/>
          <w:color w:val="000000"/>
          <w:sz w:val="32"/>
          <w:szCs w:val="32"/>
          <w:lang w:eastAsia="zh-CN"/>
        </w:rPr>
        <w:t>情况</w:t>
      </w:r>
      <w:r>
        <w:rPr>
          <w:rFonts w:hint="eastAsia" w:ascii="仿宋_GB2312" w:hAnsi="仿宋_GB2312" w:eastAsia="仿宋_GB2312" w:cs="仿宋_GB2312"/>
          <w:color w:val="000000"/>
          <w:sz w:val="32"/>
          <w:szCs w:val="32"/>
        </w:rPr>
        <w:t>说明</w:t>
      </w:r>
    </w:p>
    <w:p w14:paraId="3F32E22C">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3E46897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5076A34F">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 xml:space="preserve">第二部分 </w:t>
      </w:r>
      <w:r>
        <w:rPr>
          <w:rFonts w:hint="eastAsia" w:ascii="黑体" w:hAnsi="黑体" w:eastAsia="黑体" w:cs="黑体"/>
          <w:color w:val="000000"/>
          <w:sz w:val="32"/>
          <w:szCs w:val="32"/>
          <w:lang w:eastAsia="zh-CN"/>
        </w:rPr>
        <w:t>2025年</w:t>
      </w:r>
      <w:r>
        <w:rPr>
          <w:rFonts w:hint="eastAsia" w:ascii="黑体" w:hAnsi="黑体" w:eastAsia="黑体" w:cs="黑体"/>
          <w:color w:val="000000"/>
          <w:sz w:val="32"/>
          <w:szCs w:val="32"/>
        </w:rPr>
        <w:t>度单位预算报表</w:t>
      </w:r>
    </w:p>
    <w:p w14:paraId="087EDA92">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14:paraId="1C3A8021">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14:paraId="04D26F71">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14:paraId="36D3D57C">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14:paraId="3BCC0764">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14:paraId="65CD0B15">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14:paraId="0BC8A083">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14:paraId="3DFEBA91">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14:paraId="47AF2D9F">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14:paraId="71E70708">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14:paraId="5BC307AA">
      <w:pPr>
        <w:autoSpaceDE w:val="0"/>
        <w:autoSpaceDN w:val="0"/>
        <w:adjustRightInd w:val="0"/>
        <w:spacing w:line="560" w:lineRule="exact"/>
        <w:ind w:left="0" w:leftChars="0" w:firstLine="639" w:firstLineChars="222"/>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14:paraId="45A83D44">
      <w:pPr>
        <w:autoSpaceDE w:val="0"/>
        <w:autoSpaceDN w:val="0"/>
        <w:adjustRightInd w:val="0"/>
        <w:spacing w:line="560" w:lineRule="exact"/>
        <w:ind w:left="0" w:leftChars="0" w:firstLine="639" w:firstLineChars="225"/>
        <w:jc w:val="left"/>
        <w:rPr>
          <w:rFonts w:hint="eastAsia"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14:paraId="0275556E">
      <w:pPr>
        <w:autoSpaceDE w:val="0"/>
        <w:autoSpaceDN w:val="0"/>
        <w:adjustRightInd w:val="0"/>
        <w:spacing w:line="560" w:lineRule="exact"/>
        <w:ind w:left="0" w:leftChars="0" w:firstLine="640" w:firstLineChars="200"/>
        <w:jc w:val="left"/>
        <w:rPr>
          <w:rFonts w:hint="eastAsia" w:ascii="方正小标宋简体" w:eastAsia="方正小标宋简体"/>
          <w:color w:val="000000"/>
          <w:sz w:val="36"/>
          <w:szCs w:val="36"/>
        </w:rPr>
      </w:pPr>
      <w:r>
        <w:rPr>
          <w:rFonts w:hint="eastAsia" w:ascii="仿宋_GB2312" w:hAnsi="仿宋_GB2312" w:eastAsia="仿宋_GB2312" w:cs="仿宋_GB2312"/>
          <w:color w:val="000000"/>
          <w:kern w:val="0"/>
          <w:sz w:val="32"/>
          <w:szCs w:val="32"/>
          <w:lang w:val="zh-CN"/>
        </w:rPr>
        <w:t>十三、项目支出绩效目标表</w:t>
      </w:r>
    </w:p>
    <w:p w14:paraId="7BA91F08">
      <w:pPr>
        <w:spacing w:line="560" w:lineRule="exact"/>
        <w:jc w:val="center"/>
        <w:rPr>
          <w:rFonts w:hint="eastAsia" w:ascii="方正小标宋简体" w:eastAsia="方正小标宋简体"/>
          <w:color w:val="000000"/>
          <w:sz w:val="36"/>
          <w:szCs w:val="36"/>
          <w:u w:val="none"/>
        </w:rPr>
      </w:pPr>
    </w:p>
    <w:p w14:paraId="1B480BF4">
      <w:pPr>
        <w:spacing w:line="560" w:lineRule="exact"/>
        <w:jc w:val="center"/>
        <w:rPr>
          <w:rFonts w:hint="eastAsia" w:ascii="方正小标宋简体" w:eastAsia="方正小标宋简体"/>
          <w:color w:val="000000"/>
          <w:sz w:val="36"/>
          <w:szCs w:val="36"/>
          <w:u w:val="none"/>
        </w:rPr>
      </w:pPr>
    </w:p>
    <w:p w14:paraId="18B44DBE">
      <w:pPr>
        <w:spacing w:line="560" w:lineRule="exact"/>
        <w:jc w:val="center"/>
        <w:rPr>
          <w:rFonts w:hint="eastAsia" w:ascii="方正小标宋简体" w:eastAsia="方正小标宋简体"/>
          <w:color w:val="000000"/>
          <w:sz w:val="36"/>
          <w:szCs w:val="36"/>
          <w:u w:val="none"/>
        </w:rPr>
      </w:pPr>
    </w:p>
    <w:p w14:paraId="0669E5D1">
      <w:pPr>
        <w:spacing w:line="560" w:lineRule="exact"/>
        <w:jc w:val="center"/>
        <w:rPr>
          <w:rFonts w:hint="eastAsia" w:ascii="方正小标宋简体" w:eastAsia="方正小标宋简体"/>
          <w:color w:val="000000"/>
          <w:sz w:val="36"/>
          <w:szCs w:val="36"/>
          <w:u w:val="none"/>
        </w:rPr>
      </w:pPr>
    </w:p>
    <w:p w14:paraId="4CEB7015">
      <w:pPr>
        <w:spacing w:line="560" w:lineRule="exact"/>
        <w:jc w:val="center"/>
        <w:rPr>
          <w:rFonts w:hint="eastAsia" w:ascii="方正小标宋简体" w:eastAsia="方正小标宋简体"/>
          <w:color w:val="000000"/>
          <w:sz w:val="36"/>
          <w:szCs w:val="36"/>
          <w:u w:val="none"/>
        </w:rPr>
      </w:pPr>
    </w:p>
    <w:p w14:paraId="24834FD0">
      <w:pPr>
        <w:spacing w:line="560" w:lineRule="exact"/>
        <w:jc w:val="center"/>
        <w:rPr>
          <w:rFonts w:hint="eastAsia" w:ascii="方正小标宋简体" w:eastAsia="方正小标宋简体"/>
          <w:color w:val="000000"/>
          <w:sz w:val="36"/>
          <w:szCs w:val="36"/>
          <w:u w:val="none"/>
        </w:rPr>
      </w:pPr>
    </w:p>
    <w:p w14:paraId="1DD20E49">
      <w:pPr>
        <w:spacing w:line="560" w:lineRule="exact"/>
        <w:jc w:val="center"/>
        <w:rPr>
          <w:rFonts w:hint="eastAsia" w:ascii="方正小标宋简体" w:eastAsia="方正小标宋简体"/>
          <w:color w:val="000000"/>
          <w:sz w:val="36"/>
          <w:szCs w:val="36"/>
          <w:u w:val="none"/>
        </w:rPr>
      </w:pPr>
    </w:p>
    <w:p w14:paraId="74ECE9C5">
      <w:pPr>
        <w:spacing w:line="560" w:lineRule="exact"/>
        <w:jc w:val="center"/>
        <w:rPr>
          <w:rFonts w:hint="eastAsia" w:ascii="方正小标宋简体" w:eastAsia="方正小标宋简体"/>
          <w:color w:val="000000"/>
          <w:sz w:val="36"/>
          <w:szCs w:val="36"/>
          <w:u w:val="none"/>
        </w:rPr>
      </w:pPr>
    </w:p>
    <w:p w14:paraId="2FC93030">
      <w:pPr>
        <w:spacing w:line="560" w:lineRule="exact"/>
        <w:jc w:val="center"/>
        <w:rPr>
          <w:rFonts w:hint="eastAsia" w:ascii="方正小标宋简体" w:eastAsia="方正小标宋简体"/>
          <w:color w:val="000000"/>
          <w:sz w:val="36"/>
          <w:szCs w:val="36"/>
          <w:u w:val="none"/>
        </w:rPr>
      </w:pPr>
    </w:p>
    <w:p w14:paraId="2F2EE46C">
      <w:pPr>
        <w:spacing w:line="560" w:lineRule="exact"/>
        <w:jc w:val="center"/>
        <w:rPr>
          <w:rFonts w:hint="eastAsia" w:ascii="方正小标宋简体" w:eastAsia="方正小标宋简体"/>
          <w:color w:val="000000"/>
          <w:sz w:val="36"/>
          <w:szCs w:val="36"/>
          <w:u w:val="none"/>
        </w:rPr>
      </w:pPr>
    </w:p>
    <w:p w14:paraId="06297BC5">
      <w:pPr>
        <w:spacing w:line="560" w:lineRule="exact"/>
        <w:jc w:val="center"/>
        <w:rPr>
          <w:rFonts w:hint="eastAsia" w:ascii="方正小标宋简体" w:eastAsia="方正小标宋简体"/>
          <w:color w:val="000000"/>
          <w:sz w:val="36"/>
          <w:szCs w:val="36"/>
          <w:u w:val="none"/>
        </w:rPr>
      </w:pPr>
    </w:p>
    <w:p w14:paraId="257FD9A8">
      <w:pPr>
        <w:spacing w:line="560" w:lineRule="exact"/>
        <w:jc w:val="center"/>
        <w:rPr>
          <w:rFonts w:hint="eastAsia" w:ascii="方正小标宋简体" w:eastAsia="方正小标宋简体"/>
          <w:color w:val="000000"/>
          <w:sz w:val="36"/>
          <w:szCs w:val="36"/>
          <w:u w:val="none"/>
        </w:rPr>
      </w:pPr>
    </w:p>
    <w:p w14:paraId="0FFFA725">
      <w:pPr>
        <w:spacing w:line="560" w:lineRule="exact"/>
        <w:jc w:val="center"/>
        <w:rPr>
          <w:rFonts w:hint="eastAsia" w:ascii="方正小标宋简体" w:eastAsia="方正小标宋简体"/>
          <w:color w:val="000000"/>
          <w:sz w:val="36"/>
          <w:szCs w:val="36"/>
          <w:u w:val="none"/>
        </w:rPr>
      </w:pPr>
    </w:p>
    <w:p w14:paraId="1847A1FF">
      <w:pPr>
        <w:spacing w:line="560" w:lineRule="exact"/>
        <w:jc w:val="center"/>
        <w:rPr>
          <w:rFonts w:hint="eastAsia" w:ascii="方正小标宋简体" w:eastAsia="方正小标宋简体"/>
          <w:color w:val="000000"/>
          <w:sz w:val="36"/>
          <w:szCs w:val="36"/>
          <w:u w:val="none"/>
        </w:rPr>
      </w:pPr>
    </w:p>
    <w:p w14:paraId="18F46E3F">
      <w:pPr>
        <w:spacing w:line="560" w:lineRule="exact"/>
        <w:jc w:val="center"/>
        <w:rPr>
          <w:rFonts w:hint="eastAsia" w:ascii="方正小标宋简体" w:eastAsia="方正小标宋简体"/>
          <w:color w:val="000000"/>
          <w:sz w:val="36"/>
          <w:szCs w:val="36"/>
          <w:u w:val="none"/>
        </w:rPr>
      </w:pPr>
    </w:p>
    <w:p w14:paraId="4CF5D0C6">
      <w:pPr>
        <w:spacing w:line="560" w:lineRule="exact"/>
        <w:jc w:val="center"/>
        <w:rPr>
          <w:rFonts w:hint="eastAsia" w:ascii="方正小标宋简体" w:eastAsia="方正小标宋简体"/>
          <w:color w:val="000000"/>
          <w:sz w:val="36"/>
          <w:szCs w:val="36"/>
          <w:u w:val="none"/>
        </w:rPr>
      </w:pPr>
    </w:p>
    <w:p w14:paraId="30BDB98D">
      <w:pPr>
        <w:spacing w:line="560" w:lineRule="exact"/>
        <w:jc w:val="center"/>
        <w:rPr>
          <w:rFonts w:hint="eastAsia" w:ascii="方正小标宋简体" w:eastAsia="方正小标宋简体"/>
          <w:color w:val="000000"/>
          <w:sz w:val="36"/>
          <w:szCs w:val="36"/>
          <w:u w:val="none"/>
        </w:rPr>
      </w:pPr>
    </w:p>
    <w:p w14:paraId="43E9274F">
      <w:pPr>
        <w:spacing w:line="560" w:lineRule="exact"/>
        <w:jc w:val="center"/>
        <w:rPr>
          <w:rFonts w:hint="eastAsia" w:ascii="方正小标宋简体" w:eastAsia="方正小标宋简体"/>
          <w:color w:val="000000"/>
          <w:sz w:val="36"/>
          <w:szCs w:val="36"/>
          <w:u w:val="none"/>
        </w:rPr>
      </w:pPr>
    </w:p>
    <w:p w14:paraId="6D76C979">
      <w:pPr>
        <w:spacing w:line="560" w:lineRule="exact"/>
        <w:jc w:val="center"/>
        <w:rPr>
          <w:rFonts w:hint="eastAsia" w:ascii="方正小标宋简体" w:eastAsia="方正小标宋简体"/>
          <w:color w:val="000000"/>
          <w:sz w:val="36"/>
          <w:szCs w:val="36"/>
          <w:u w:val="none"/>
        </w:rPr>
      </w:pPr>
    </w:p>
    <w:p w14:paraId="065086CF">
      <w:pPr>
        <w:spacing w:line="560" w:lineRule="exact"/>
        <w:jc w:val="center"/>
        <w:rPr>
          <w:rFonts w:hint="eastAsia" w:ascii="方正小标宋简体" w:eastAsia="方正小标宋简体"/>
          <w:color w:val="000000"/>
          <w:sz w:val="36"/>
          <w:szCs w:val="36"/>
          <w:u w:val="none"/>
        </w:rPr>
      </w:pPr>
    </w:p>
    <w:p w14:paraId="2010CF41">
      <w:pPr>
        <w:spacing w:line="560" w:lineRule="exact"/>
        <w:jc w:val="both"/>
        <w:rPr>
          <w:rFonts w:hint="eastAsia" w:ascii="方正小标宋简体" w:eastAsia="方正小标宋简体"/>
          <w:color w:val="000000"/>
          <w:sz w:val="36"/>
          <w:szCs w:val="36"/>
          <w:u w:val="none"/>
        </w:rPr>
      </w:pPr>
      <w:bookmarkStart w:id="0" w:name="_GoBack"/>
      <w:bookmarkEnd w:id="0"/>
    </w:p>
    <w:p w14:paraId="35622AE2">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6"/>
          <w:szCs w:val="36"/>
          <w:u w:val="none"/>
        </w:rPr>
        <w:t xml:space="preserve">第一部分  </w:t>
      </w:r>
      <w:r>
        <w:rPr>
          <w:rFonts w:hint="eastAsia" w:ascii="方正小标宋简体" w:eastAsia="方正小标宋简体"/>
          <w:color w:val="000000"/>
          <w:sz w:val="36"/>
          <w:szCs w:val="36"/>
          <w:u w:val="none"/>
          <w:lang w:eastAsia="zh-CN"/>
        </w:rPr>
        <w:t>2025年度</w:t>
      </w:r>
      <w:r>
        <w:rPr>
          <w:rFonts w:hint="eastAsia" w:ascii="方正小标宋简体" w:eastAsia="方正小标宋简体"/>
          <w:color w:val="000000"/>
          <w:sz w:val="36"/>
          <w:szCs w:val="36"/>
          <w:u w:val="none"/>
        </w:rPr>
        <w:t>单位预算情况说明</w:t>
      </w:r>
    </w:p>
    <w:p w14:paraId="5F386598">
      <w:pPr>
        <w:spacing w:line="360" w:lineRule="auto"/>
        <w:rPr>
          <w:rFonts w:hint="eastAsia" w:ascii="仿宋_GB2312" w:eastAsia="仿宋_GB2312"/>
          <w:color w:val="000000"/>
          <w:sz w:val="32"/>
          <w:szCs w:val="32"/>
        </w:rPr>
      </w:pPr>
    </w:p>
    <w:p w14:paraId="6419CE16">
      <w:pPr>
        <w:spacing w:line="560" w:lineRule="exact"/>
        <w:ind w:firstLine="640" w:firstLineChars="200"/>
        <w:rPr>
          <w:rFonts w:hint="eastAsia" w:ascii="黑体" w:eastAsia="黑体"/>
          <w:color w:val="000000"/>
          <w:sz w:val="32"/>
          <w:szCs w:val="32"/>
          <w:lang w:eastAsia="zh-CN"/>
        </w:rPr>
      </w:pPr>
      <w:r>
        <w:rPr>
          <w:rFonts w:hint="eastAsia" w:ascii="黑体" w:eastAsia="黑体"/>
          <w:color w:val="000000"/>
          <w:sz w:val="32"/>
          <w:szCs w:val="32"/>
        </w:rPr>
        <w:t>一、单位情况</w:t>
      </w:r>
      <w:r>
        <w:rPr>
          <w:rFonts w:hint="eastAsia" w:ascii="黑体" w:eastAsia="黑体"/>
          <w:color w:val="000000"/>
          <w:sz w:val="32"/>
          <w:szCs w:val="32"/>
          <w:lang w:eastAsia="zh-CN"/>
        </w:rPr>
        <w:t>说明</w:t>
      </w:r>
    </w:p>
    <w:p w14:paraId="4A91154C">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（一）本单位性质、职责等情况</w:t>
      </w:r>
    </w:p>
    <w:p w14:paraId="3B7419E6">
      <w:pPr>
        <w:spacing w:line="560" w:lineRule="exact"/>
        <w:ind w:firstLine="640" w:firstLineChars="200"/>
        <w:rPr>
          <w:rFonts w:hint="eastAsia" w:ascii="仿宋_GB2312" w:eastAsia="仿宋_GB2312"/>
          <w:color w:val="0000FF"/>
          <w:sz w:val="32"/>
          <w:szCs w:val="32"/>
          <w:lang w:val="en-US" w:eastAsia="zh-CN"/>
        </w:rPr>
      </w:pPr>
      <w:r>
        <w:rPr>
          <w:rFonts w:hint="eastAsia" w:ascii="仿宋_GB2312" w:eastAsia="仿宋_GB2312" w:cs="Droid Sans"/>
          <w:color w:val="000000"/>
          <w:sz w:val="32"/>
          <w:szCs w:val="32"/>
          <w:lang w:val="en-US" w:eastAsia="zh-CN"/>
        </w:rPr>
        <w:t xml:space="preserve"> </w:t>
      </w:r>
      <w:r>
        <w:rPr>
          <w:rFonts w:hint="eastAsia" w:ascii="仿宋_GB2312" w:eastAsia="仿宋_GB2312"/>
          <w:color w:val="000000"/>
          <w:sz w:val="32"/>
          <w:szCs w:val="32"/>
          <w:lang w:val="en-US" w:eastAsia="zh-CN"/>
        </w:rPr>
        <w:t>根据《中共北京市委机构编制委员会关于市规划自然资源系统所属事业单位改革有关事项的批复》（京编委〔2021〕123号）</w:t>
      </w:r>
      <w:r>
        <w:rPr>
          <w:rFonts w:hint="eastAsia" w:ascii="仿宋_GB2312" w:eastAsia="仿宋_GB2312"/>
          <w:color w:val="auto"/>
          <w:sz w:val="32"/>
          <w:szCs w:val="32"/>
          <w:lang w:val="en-US" w:eastAsia="zh-CN"/>
        </w:rPr>
        <w:t>,北</w:t>
      </w:r>
      <w:r>
        <w:rPr>
          <w:rFonts w:hint="eastAsia" w:ascii="仿宋_GB2312" w:eastAsia="仿宋_GB2312"/>
          <w:color w:val="000000"/>
          <w:sz w:val="32"/>
          <w:szCs w:val="32"/>
          <w:lang w:val="en-US" w:eastAsia="zh-CN"/>
        </w:rPr>
        <w:t>京市地热研究院更名为北京市地热调查研究所，为北京市地质矿产勘查院所属的财政补助公益二类事业单位，主要职责为：</w:t>
      </w:r>
    </w:p>
    <w:p w14:paraId="757AB40A">
      <w:pPr>
        <w:spacing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1.承担本市地热地质勘查、地热资源调查评价相关工作；</w:t>
      </w:r>
    </w:p>
    <w:p w14:paraId="2724FB40">
      <w:pPr>
        <w:spacing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2.承担浅层地热能资源勘查、开发利用，综合研究；</w:t>
      </w:r>
    </w:p>
    <w:p w14:paraId="0D06EFC0">
      <w:pPr>
        <w:spacing w:line="560" w:lineRule="exact"/>
        <w:ind w:firstLine="640" w:firstLineChars="200"/>
        <w:rPr>
          <w:rFonts w:hint="eastAsia"/>
          <w:lang w:val="en-US" w:eastAsia="zh-CN"/>
        </w:rPr>
      </w:pPr>
      <w:r>
        <w:rPr>
          <w:rFonts w:hint="eastAsia" w:ascii="仿宋_GB2312" w:eastAsia="仿宋_GB2312"/>
          <w:color w:val="000000"/>
          <w:sz w:val="32"/>
          <w:szCs w:val="32"/>
          <w:lang w:val="en-US" w:eastAsia="zh-CN"/>
        </w:rPr>
        <w:t>3.承担浅层地热能监测网的建设、运行和管理等事务性工作</w:t>
      </w:r>
      <w:r>
        <w:rPr>
          <w:rFonts w:hint="eastAsia" w:ascii="仿宋_GB2312" w:hAnsi="Times New Roman" w:eastAsia="仿宋_GB2312" w:cs="Droid Sans"/>
          <w:b w:val="0"/>
          <w:bCs w:val="0"/>
          <w:color w:val="000000"/>
          <w:kern w:val="2"/>
          <w:sz w:val="32"/>
          <w:szCs w:val="32"/>
          <w:lang w:val="en-US" w:eastAsia="zh-CN" w:bidi="ar-SA"/>
        </w:rPr>
        <w:t>。</w:t>
      </w:r>
    </w:p>
    <w:p w14:paraId="6A4FE482">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（二）机构设置情况</w:t>
      </w:r>
    </w:p>
    <w:p w14:paraId="32E7036D">
      <w:pPr>
        <w:spacing w:line="560" w:lineRule="exact"/>
        <w:ind w:firstLine="640" w:firstLineChars="200"/>
        <w:rPr>
          <w:rFonts w:hint="eastAsia" w:ascii="仿宋_GB2312" w:eastAsia="仿宋_GB2312"/>
          <w:color w:val="0000FF"/>
          <w:sz w:val="32"/>
          <w:szCs w:val="32"/>
          <w:lang w:val="en-US" w:eastAsia="zh-CN"/>
        </w:rPr>
      </w:pPr>
      <w:r>
        <w:rPr>
          <w:rFonts w:hint="eastAsia" w:ascii="仿宋_GB2312" w:eastAsia="仿宋_GB2312" w:cs="Droid Sans"/>
          <w:color w:val="0000FF"/>
          <w:sz w:val="32"/>
          <w:szCs w:val="32"/>
          <w:lang w:val="en-US" w:eastAsia="zh-CN"/>
        </w:rPr>
        <w:t xml:space="preserve"> </w:t>
      </w:r>
      <w:r>
        <w:rPr>
          <w:rFonts w:hint="eastAsia" w:ascii="仿宋_GB2312" w:eastAsia="仿宋_GB2312"/>
          <w:color w:val="auto"/>
          <w:sz w:val="32"/>
          <w:szCs w:val="32"/>
          <w:lang w:val="en-US" w:eastAsia="zh-CN"/>
        </w:rPr>
        <w:t>北京市地热调查研究所内设16个科室，分别为党委办公室、办公室、综合研究室、地热规划研究室、深层地热能勘查室、浅层地热能综合研究室、 浅层地热能监测研究室、浅层地热能开发利用研究室、实验测试室、钻探工程室、技术质量科、安全保障科、计划财务科、人事科、纪检办公室、工会。</w:t>
      </w:r>
    </w:p>
    <w:p w14:paraId="3BC5BD5A">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（三）人员</w:t>
      </w:r>
      <w:r>
        <w:rPr>
          <w:rFonts w:hint="eastAsia" w:ascii="楷体_GB2312" w:eastAsia="楷体_GB2312"/>
          <w:color w:val="auto"/>
          <w:sz w:val="32"/>
          <w:szCs w:val="32"/>
          <w:lang w:eastAsia="zh-CN"/>
        </w:rPr>
        <w:t>编制及实有</w:t>
      </w:r>
      <w:r>
        <w:rPr>
          <w:rFonts w:hint="eastAsia" w:ascii="楷体_GB2312" w:eastAsia="楷体_GB2312"/>
          <w:color w:val="auto"/>
          <w:sz w:val="32"/>
          <w:szCs w:val="32"/>
        </w:rPr>
        <w:t>情况</w:t>
      </w:r>
    </w:p>
    <w:p w14:paraId="2DF3D9B4">
      <w:pPr>
        <w:spacing w:line="560" w:lineRule="exact"/>
        <w:ind w:firstLine="640" w:firstLineChars="200"/>
        <w:rPr>
          <w:rFonts w:hint="eastAsia" w:ascii="仿宋_GB2312" w:eastAsia="仿宋_GB2312"/>
          <w:color w:val="auto"/>
          <w:sz w:val="32"/>
          <w:szCs w:val="32"/>
          <w:u w:val="none"/>
          <w:lang w:eastAsia="zh-CN"/>
        </w:rPr>
      </w:pPr>
      <w:r>
        <w:rPr>
          <w:rFonts w:hint="eastAsia" w:ascii="仿宋_GB2312" w:eastAsia="仿宋_GB2312"/>
          <w:color w:val="auto"/>
          <w:sz w:val="32"/>
          <w:szCs w:val="32"/>
          <w:u w:val="none"/>
          <w:lang w:eastAsia="zh-CN"/>
        </w:rPr>
        <w:t>北京市地热调查研究所行政编制</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lang w:eastAsia="zh-CN"/>
        </w:rPr>
        <w:t>人，实</w:t>
      </w:r>
      <w:r>
        <w:rPr>
          <w:rFonts w:hint="eastAsia" w:ascii="仿宋_GB2312" w:eastAsia="仿宋_GB2312"/>
          <w:color w:val="auto"/>
          <w:sz w:val="32"/>
          <w:szCs w:val="32"/>
          <w:u w:val="none"/>
          <w:lang w:val="en-US" w:eastAsia="zh-CN"/>
        </w:rPr>
        <w:t>有人数0</w:t>
      </w:r>
      <w:r>
        <w:rPr>
          <w:rFonts w:hint="eastAsia" w:ascii="仿宋_GB2312" w:eastAsia="仿宋_GB2312"/>
          <w:color w:val="auto"/>
          <w:sz w:val="32"/>
          <w:szCs w:val="32"/>
          <w:u w:val="none"/>
          <w:lang w:eastAsia="zh-CN"/>
        </w:rPr>
        <w:t>人；事业编制</w:t>
      </w:r>
      <w:r>
        <w:rPr>
          <w:rFonts w:hint="eastAsia" w:ascii="仿宋_GB2312" w:eastAsia="仿宋_GB2312"/>
          <w:color w:val="auto"/>
          <w:sz w:val="32"/>
          <w:szCs w:val="32"/>
          <w:u w:val="none"/>
          <w:lang w:val="en-US" w:eastAsia="zh-CN"/>
        </w:rPr>
        <w:t>137</w:t>
      </w:r>
      <w:r>
        <w:rPr>
          <w:rFonts w:hint="eastAsia" w:ascii="仿宋_GB2312" w:eastAsia="仿宋_GB2312"/>
          <w:color w:val="auto"/>
          <w:sz w:val="32"/>
          <w:szCs w:val="32"/>
          <w:u w:val="none"/>
          <w:lang w:eastAsia="zh-CN"/>
        </w:rPr>
        <w:t>人，实</w:t>
      </w:r>
      <w:r>
        <w:rPr>
          <w:rFonts w:hint="eastAsia" w:ascii="仿宋_GB2312" w:eastAsia="仿宋_GB2312"/>
          <w:color w:val="auto"/>
          <w:sz w:val="32"/>
          <w:szCs w:val="32"/>
          <w:u w:val="none"/>
          <w:lang w:val="en-US" w:eastAsia="zh-CN"/>
        </w:rPr>
        <w:t>有人数119</w:t>
      </w:r>
      <w:r>
        <w:rPr>
          <w:rFonts w:hint="eastAsia" w:ascii="仿宋_GB2312" w:eastAsia="仿宋_GB2312"/>
          <w:color w:val="auto"/>
          <w:sz w:val="32"/>
          <w:szCs w:val="32"/>
          <w:u w:val="none"/>
          <w:lang w:eastAsia="zh-CN"/>
        </w:rPr>
        <w:t>人。</w:t>
      </w:r>
    </w:p>
    <w:p w14:paraId="6D4BB783">
      <w:pPr>
        <w:spacing w:line="560" w:lineRule="exact"/>
        <w:ind w:firstLine="640" w:firstLineChars="200"/>
        <w:rPr>
          <w:rFonts w:hint="eastAsia" w:ascii="仿宋_GB2312" w:eastAsia="仿宋_GB2312"/>
          <w:color w:val="0000FF"/>
          <w:sz w:val="32"/>
          <w:szCs w:val="32"/>
          <w:u w:val="none"/>
          <w:lang w:eastAsia="zh-CN"/>
        </w:rPr>
      </w:pPr>
      <w:r>
        <w:rPr>
          <w:rFonts w:hint="eastAsia" w:ascii="仿宋_GB2312" w:eastAsia="仿宋_GB2312"/>
          <w:color w:val="auto"/>
          <w:sz w:val="32"/>
          <w:szCs w:val="32"/>
          <w:u w:val="none"/>
          <w:lang w:eastAsia="zh-CN"/>
        </w:rPr>
        <w:t>离退休人员1</w:t>
      </w:r>
      <w:r>
        <w:rPr>
          <w:rFonts w:hint="eastAsia" w:ascii="仿宋_GB2312" w:eastAsia="仿宋_GB2312"/>
          <w:color w:val="auto"/>
          <w:sz w:val="32"/>
          <w:szCs w:val="32"/>
          <w:u w:val="none"/>
          <w:lang w:val="en-US" w:eastAsia="zh-CN"/>
        </w:rPr>
        <w:t>7</w:t>
      </w:r>
      <w:r>
        <w:rPr>
          <w:rFonts w:hint="eastAsia" w:ascii="仿宋_GB2312" w:eastAsia="仿宋_GB2312"/>
          <w:color w:val="auto"/>
          <w:sz w:val="32"/>
          <w:szCs w:val="32"/>
          <w:u w:val="none"/>
          <w:lang w:eastAsia="zh-CN"/>
        </w:rPr>
        <w:t>人，其中：离休0人，退休1</w:t>
      </w:r>
      <w:r>
        <w:rPr>
          <w:rFonts w:hint="eastAsia" w:ascii="仿宋_GB2312" w:eastAsia="仿宋_GB2312"/>
          <w:color w:val="auto"/>
          <w:sz w:val="32"/>
          <w:szCs w:val="32"/>
          <w:u w:val="none"/>
          <w:lang w:val="en-US" w:eastAsia="zh-CN"/>
        </w:rPr>
        <w:t>7</w:t>
      </w:r>
      <w:r>
        <w:rPr>
          <w:rFonts w:hint="eastAsia" w:ascii="仿宋_GB2312" w:eastAsia="仿宋_GB2312"/>
          <w:color w:val="auto"/>
          <w:sz w:val="32"/>
          <w:szCs w:val="32"/>
          <w:u w:val="none"/>
          <w:lang w:eastAsia="zh-CN"/>
        </w:rPr>
        <w:t>人。</w:t>
      </w:r>
    </w:p>
    <w:p w14:paraId="450F6CD1">
      <w:pPr>
        <w:spacing w:line="560" w:lineRule="exact"/>
        <w:ind w:firstLine="640" w:firstLineChars="200"/>
        <w:rPr>
          <w:rFonts w:hint="eastAsia" w:ascii="黑体" w:eastAsia="黑体"/>
          <w:color w:val="000000"/>
          <w:sz w:val="32"/>
          <w:szCs w:val="32"/>
          <w:lang w:eastAsia="zh-CN"/>
        </w:rPr>
      </w:pPr>
      <w:r>
        <w:rPr>
          <w:rFonts w:hint="eastAsia" w:ascii="黑体" w:eastAsia="黑体"/>
          <w:color w:val="000000"/>
          <w:sz w:val="32"/>
          <w:szCs w:val="32"/>
        </w:rPr>
        <w:t>二、收入</w:t>
      </w:r>
      <w:r>
        <w:rPr>
          <w:rFonts w:hint="eastAsia" w:ascii="黑体" w:eastAsia="黑体"/>
          <w:color w:val="000000"/>
          <w:sz w:val="32"/>
          <w:szCs w:val="32"/>
          <w:lang w:eastAsia="zh-CN"/>
        </w:rPr>
        <w:t>预算</w:t>
      </w:r>
      <w:r>
        <w:rPr>
          <w:rFonts w:hint="eastAsia" w:ascii="黑体" w:eastAsia="黑体"/>
          <w:color w:val="000000"/>
          <w:sz w:val="32"/>
          <w:szCs w:val="32"/>
        </w:rPr>
        <w:t>情况</w:t>
      </w:r>
      <w:r>
        <w:rPr>
          <w:rFonts w:hint="eastAsia" w:ascii="黑体" w:eastAsia="黑体"/>
          <w:color w:val="000000"/>
          <w:sz w:val="32"/>
          <w:szCs w:val="32"/>
          <w:lang w:eastAsia="zh-CN"/>
        </w:rPr>
        <w:t>说明</w:t>
      </w:r>
    </w:p>
    <w:p w14:paraId="57ABAAA3">
      <w:pPr>
        <w:spacing w:line="560" w:lineRule="exact"/>
        <w:ind w:firstLine="640" w:firstLineChars="200"/>
        <w:rPr>
          <w:rFonts w:hint="eastAsia"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2025年度收入预算6312.37万元，比2024年年初预算数6143.80万元增加168.57万元，增长2.74%。主要原因是</w:t>
      </w:r>
      <w:r>
        <w:rPr>
          <w:rFonts w:hint="eastAsia" w:ascii="仿宋_GB2312" w:eastAsia="仿宋_GB2312"/>
          <w:sz w:val="32"/>
          <w:szCs w:val="32"/>
        </w:rPr>
        <w:t>为持续推动地热“两能”</w:t>
      </w:r>
      <w:r>
        <w:rPr>
          <w:rFonts w:hint="eastAsia" w:ascii="仿宋_GB2312" w:eastAsia="仿宋_GB2312"/>
          <w:sz w:val="32"/>
          <w:szCs w:val="32"/>
          <w:lang w:val="en-US" w:eastAsia="zh-CN"/>
        </w:rPr>
        <w:t>事业</w:t>
      </w:r>
      <w:r>
        <w:rPr>
          <w:rFonts w:hint="eastAsia" w:ascii="仿宋_GB2312" w:eastAsia="仿宋_GB2312"/>
          <w:sz w:val="32"/>
          <w:szCs w:val="32"/>
        </w:rPr>
        <w:t>高质量发展，</w:t>
      </w:r>
      <w:r>
        <w:rPr>
          <w:rFonts w:hint="eastAsia" w:ascii="仿宋_GB2312" w:eastAsia="仿宋_GB2312"/>
          <w:sz w:val="32"/>
          <w:szCs w:val="32"/>
          <w:lang w:val="en-US" w:eastAsia="zh-CN"/>
        </w:rPr>
        <w:t>积极</w:t>
      </w:r>
      <w:r>
        <w:rPr>
          <w:rFonts w:hint="eastAsia" w:ascii="仿宋_GB2312" w:eastAsia="仿宋_GB2312"/>
          <w:sz w:val="32"/>
          <w:szCs w:val="32"/>
        </w:rPr>
        <w:t>开展商业地质项目，事业收入增加</w:t>
      </w:r>
      <w:r>
        <w:rPr>
          <w:rFonts w:hint="eastAsia" w:ascii="仿宋_GB2312" w:eastAsia="仿宋_GB2312" w:cs="Droid Sans"/>
          <w:color w:val="auto"/>
          <w:sz w:val="32"/>
          <w:szCs w:val="32"/>
          <w:u w:val="none"/>
          <w:lang w:val="en-US" w:eastAsia="zh-CN"/>
        </w:rPr>
        <w:t>。</w:t>
      </w:r>
    </w:p>
    <w:p w14:paraId="67AAE911">
      <w:pPr>
        <w:spacing w:line="560" w:lineRule="exact"/>
        <w:ind w:firstLine="640" w:firstLineChars="200"/>
        <w:rPr>
          <w:rFonts w:hint="eastAsia" w:ascii="楷体_GB2312" w:eastAsia="楷体_GB2312"/>
          <w:color w:val="auto"/>
          <w:sz w:val="32"/>
          <w:szCs w:val="32"/>
          <w:lang w:eastAsia="zh-CN"/>
        </w:rPr>
      </w:pPr>
      <w:r>
        <w:rPr>
          <w:rFonts w:hint="eastAsia" w:ascii="楷体_GB2312" w:eastAsia="楷体_GB2312"/>
          <w:color w:val="auto"/>
          <w:sz w:val="32"/>
          <w:szCs w:val="32"/>
        </w:rPr>
        <w:t>（一）</w:t>
      </w:r>
      <w:r>
        <w:rPr>
          <w:rFonts w:hint="eastAsia" w:ascii="楷体_GB2312" w:eastAsia="楷体_GB2312"/>
          <w:color w:val="auto"/>
          <w:sz w:val="32"/>
          <w:szCs w:val="32"/>
          <w:lang w:eastAsia="zh-CN"/>
        </w:rPr>
        <w:t>本年财政拨款收入</w:t>
      </w:r>
      <w:r>
        <w:rPr>
          <w:rFonts w:hint="eastAsia" w:ascii="楷体_GB2312" w:eastAsia="楷体_GB2312" w:cs="Droid Sans"/>
          <w:color w:val="auto"/>
          <w:sz w:val="32"/>
          <w:szCs w:val="32"/>
          <w:lang w:val="en-US" w:eastAsia="zh-CN"/>
        </w:rPr>
        <w:t>4435.81</w:t>
      </w:r>
      <w:r>
        <w:rPr>
          <w:rFonts w:hint="eastAsia" w:ascii="楷体_GB2312" w:eastAsia="楷体_GB2312" w:cs="Droid Sans"/>
          <w:color w:val="auto"/>
          <w:sz w:val="32"/>
          <w:szCs w:val="32"/>
          <w:lang w:eastAsia="zh-CN"/>
        </w:rPr>
        <w:t>万</w:t>
      </w:r>
      <w:r>
        <w:rPr>
          <w:rFonts w:hint="eastAsia" w:ascii="楷体_GB2312" w:eastAsia="楷体_GB2312"/>
          <w:color w:val="auto"/>
          <w:sz w:val="32"/>
          <w:szCs w:val="32"/>
          <w:lang w:eastAsia="zh-CN"/>
        </w:rPr>
        <w:t>元</w:t>
      </w:r>
    </w:p>
    <w:p w14:paraId="5CC3C3E2">
      <w:pPr>
        <w:spacing w:line="56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1.</w:t>
      </w:r>
      <w:r>
        <w:rPr>
          <w:rFonts w:hint="eastAsia" w:ascii="仿宋_GB2312" w:eastAsia="仿宋_GB2312" w:cs="Droid Sans"/>
          <w:color w:val="auto"/>
          <w:sz w:val="32"/>
          <w:szCs w:val="32"/>
          <w:lang w:eastAsia="zh-CN"/>
        </w:rPr>
        <w:t>一般公共预算拨款收入</w:t>
      </w:r>
      <w:r>
        <w:rPr>
          <w:rFonts w:hint="eastAsia" w:ascii="仿宋_GB2312" w:eastAsia="仿宋_GB2312" w:cs="Droid Sans"/>
          <w:color w:val="auto"/>
          <w:sz w:val="32"/>
          <w:szCs w:val="32"/>
          <w:lang w:val="en-US" w:eastAsia="zh-CN"/>
        </w:rPr>
        <w:t>4435.81</w:t>
      </w:r>
      <w:r>
        <w:rPr>
          <w:rFonts w:hint="eastAsia" w:ascii="仿宋_GB2312" w:eastAsia="仿宋_GB2312" w:cs="Droid Sans"/>
          <w:color w:val="auto"/>
          <w:sz w:val="32"/>
          <w:szCs w:val="32"/>
        </w:rPr>
        <w:t>万元。</w:t>
      </w:r>
    </w:p>
    <w:p w14:paraId="7A0BFDFE">
      <w:pPr>
        <w:spacing w:line="56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2.政府性基金</w:t>
      </w:r>
      <w:r>
        <w:rPr>
          <w:rFonts w:hint="eastAsia" w:ascii="仿宋_GB2312" w:eastAsia="仿宋_GB2312" w:cs="Droid Sans"/>
          <w:color w:val="auto"/>
          <w:sz w:val="32"/>
          <w:szCs w:val="32"/>
          <w:lang w:eastAsia="zh-CN"/>
        </w:rPr>
        <w:t>预算拨款收入0</w:t>
      </w:r>
      <w:r>
        <w:rPr>
          <w:rFonts w:hint="eastAsia" w:ascii="仿宋_GB2312" w:eastAsia="仿宋_GB2312" w:cs="Droid Sans"/>
          <w:color w:val="auto"/>
          <w:sz w:val="32"/>
          <w:szCs w:val="32"/>
        </w:rPr>
        <w:t>万元。</w:t>
      </w:r>
    </w:p>
    <w:p w14:paraId="3B81D418">
      <w:pPr>
        <w:numPr>
          <w:ilvl w:val="0"/>
          <w:numId w:val="0"/>
        </w:numPr>
        <w:spacing w:line="56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3.国有资本经营</w:t>
      </w:r>
      <w:r>
        <w:rPr>
          <w:rFonts w:hint="eastAsia" w:ascii="仿宋_GB2312" w:eastAsia="仿宋_GB2312" w:cs="Droid Sans"/>
          <w:color w:val="auto"/>
          <w:sz w:val="32"/>
          <w:szCs w:val="32"/>
          <w:lang w:eastAsia="zh-CN"/>
        </w:rPr>
        <w:t>预算拨款收入</w:t>
      </w:r>
      <w:r>
        <w:rPr>
          <w:rFonts w:hint="eastAsia" w:ascii="仿宋_GB2312" w:eastAsia="仿宋_GB2312" w:cs="Droid Sans"/>
          <w:color w:val="auto"/>
          <w:sz w:val="32"/>
          <w:szCs w:val="32"/>
          <w:lang w:val="en-US" w:eastAsia="zh-CN"/>
        </w:rPr>
        <w:t>0</w:t>
      </w:r>
      <w:r>
        <w:rPr>
          <w:rFonts w:hint="eastAsia" w:ascii="仿宋_GB2312" w:eastAsia="仿宋_GB2312" w:cs="Droid Sans"/>
          <w:color w:val="auto"/>
          <w:sz w:val="32"/>
          <w:szCs w:val="32"/>
        </w:rPr>
        <w:t>万元。</w:t>
      </w:r>
    </w:p>
    <w:p w14:paraId="2197CADA">
      <w:pPr>
        <w:spacing w:line="560" w:lineRule="exact"/>
        <w:ind w:firstLine="640" w:firstLineChars="200"/>
        <w:rPr>
          <w:rFonts w:hint="eastAsia" w:ascii="楷体_GB2312" w:eastAsia="楷体_GB2312" w:cs="Droid Sans"/>
          <w:color w:val="auto"/>
          <w:sz w:val="32"/>
          <w:szCs w:val="32"/>
          <w:lang w:eastAsia="zh-CN"/>
        </w:rPr>
      </w:pPr>
      <w:r>
        <w:rPr>
          <w:rFonts w:hint="eastAsia" w:ascii="楷体_GB2312" w:eastAsia="楷体_GB2312"/>
          <w:color w:val="auto"/>
          <w:sz w:val="32"/>
          <w:szCs w:val="32"/>
        </w:rPr>
        <w:t>（</w:t>
      </w:r>
      <w:r>
        <w:rPr>
          <w:rFonts w:hint="eastAsia" w:ascii="楷体_GB2312" w:eastAsia="楷体_GB2312"/>
          <w:color w:val="auto"/>
          <w:sz w:val="32"/>
          <w:szCs w:val="32"/>
          <w:lang w:eastAsia="zh-CN"/>
        </w:rPr>
        <w:t>二</w:t>
      </w:r>
      <w:r>
        <w:rPr>
          <w:rFonts w:hint="eastAsia" w:ascii="楷体_GB2312" w:eastAsia="楷体_GB2312"/>
          <w:color w:val="auto"/>
          <w:sz w:val="32"/>
          <w:szCs w:val="32"/>
        </w:rPr>
        <w:t>）</w:t>
      </w:r>
      <w:r>
        <w:rPr>
          <w:rFonts w:hint="eastAsia" w:ascii="楷体_GB2312" w:eastAsia="楷体_GB2312"/>
          <w:color w:val="auto"/>
          <w:sz w:val="32"/>
          <w:szCs w:val="32"/>
          <w:lang w:eastAsia="zh-CN"/>
        </w:rPr>
        <w:t>本年其他资金</w:t>
      </w:r>
      <w:r>
        <w:rPr>
          <w:rFonts w:hint="eastAsia" w:ascii="楷体_GB2312" w:eastAsia="楷体_GB2312" w:cs="Droid Sans"/>
          <w:color w:val="auto"/>
          <w:sz w:val="32"/>
          <w:szCs w:val="32"/>
          <w:lang w:eastAsia="zh-CN"/>
        </w:rPr>
        <w:t>收入</w:t>
      </w:r>
      <w:r>
        <w:rPr>
          <w:rFonts w:hint="eastAsia" w:ascii="楷体_GB2312" w:eastAsia="楷体_GB2312" w:cs="Droid Sans"/>
          <w:color w:val="auto"/>
          <w:sz w:val="32"/>
          <w:szCs w:val="32"/>
          <w:lang w:val="en-US" w:eastAsia="zh-CN"/>
        </w:rPr>
        <w:t>1726.56</w:t>
      </w:r>
      <w:r>
        <w:rPr>
          <w:rFonts w:hint="eastAsia" w:ascii="楷体_GB2312" w:eastAsia="楷体_GB2312" w:cs="Droid Sans"/>
          <w:color w:val="auto"/>
          <w:sz w:val="32"/>
          <w:szCs w:val="32"/>
          <w:lang w:eastAsia="zh-CN"/>
        </w:rPr>
        <w:t>万元</w:t>
      </w:r>
    </w:p>
    <w:p w14:paraId="15E3F3A6">
      <w:pPr>
        <w:numPr>
          <w:ilvl w:val="0"/>
          <w:numId w:val="0"/>
        </w:numPr>
        <w:spacing w:line="56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4.财政专户管理资金收入</w:t>
      </w:r>
      <w:r>
        <w:rPr>
          <w:rFonts w:hint="eastAsia" w:ascii="仿宋_GB2312" w:eastAsia="仿宋_GB2312" w:cs="Droid Sans"/>
          <w:color w:val="auto"/>
          <w:sz w:val="32"/>
          <w:szCs w:val="32"/>
          <w:lang w:eastAsia="zh-CN"/>
        </w:rPr>
        <w:t>0</w:t>
      </w:r>
      <w:r>
        <w:rPr>
          <w:rFonts w:hint="eastAsia" w:ascii="仿宋_GB2312" w:eastAsia="仿宋_GB2312" w:cs="Droid Sans"/>
          <w:color w:val="auto"/>
          <w:sz w:val="32"/>
          <w:szCs w:val="32"/>
        </w:rPr>
        <w:t>万元。</w:t>
      </w:r>
    </w:p>
    <w:p w14:paraId="713DDF85">
      <w:pPr>
        <w:numPr>
          <w:ilvl w:val="0"/>
          <w:numId w:val="0"/>
        </w:numPr>
        <w:spacing w:line="56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5.事业收入1706.56</w:t>
      </w:r>
      <w:r>
        <w:rPr>
          <w:rFonts w:hint="eastAsia" w:ascii="仿宋_GB2312" w:eastAsia="仿宋_GB2312" w:cs="Droid Sans"/>
          <w:color w:val="auto"/>
          <w:sz w:val="32"/>
          <w:szCs w:val="32"/>
        </w:rPr>
        <w:t>万元。</w:t>
      </w:r>
    </w:p>
    <w:p w14:paraId="76E1F3B8">
      <w:pPr>
        <w:numPr>
          <w:ilvl w:val="0"/>
          <w:numId w:val="0"/>
        </w:numPr>
        <w:spacing w:line="56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6.上级补助收入</w:t>
      </w:r>
      <w:r>
        <w:rPr>
          <w:rFonts w:hint="eastAsia" w:ascii="仿宋_GB2312" w:eastAsia="仿宋_GB2312" w:cs="Droid Sans"/>
          <w:color w:val="auto"/>
          <w:sz w:val="32"/>
          <w:szCs w:val="32"/>
          <w:lang w:eastAsia="zh-CN"/>
        </w:rPr>
        <w:t>0</w:t>
      </w:r>
      <w:r>
        <w:rPr>
          <w:rFonts w:hint="eastAsia" w:ascii="仿宋_GB2312" w:eastAsia="仿宋_GB2312" w:cs="Droid Sans"/>
          <w:color w:val="auto"/>
          <w:sz w:val="32"/>
          <w:szCs w:val="32"/>
        </w:rPr>
        <w:t>万元。</w:t>
      </w:r>
    </w:p>
    <w:p w14:paraId="6F886B66">
      <w:pPr>
        <w:numPr>
          <w:ilvl w:val="0"/>
          <w:numId w:val="0"/>
        </w:numPr>
        <w:spacing w:line="56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7.附属单位上缴收入</w:t>
      </w:r>
      <w:r>
        <w:rPr>
          <w:rFonts w:hint="eastAsia" w:ascii="仿宋_GB2312" w:eastAsia="仿宋_GB2312" w:cs="Droid Sans"/>
          <w:color w:val="auto"/>
          <w:sz w:val="32"/>
          <w:szCs w:val="32"/>
          <w:lang w:eastAsia="zh-CN"/>
        </w:rPr>
        <w:t>0</w:t>
      </w:r>
      <w:r>
        <w:rPr>
          <w:rFonts w:hint="eastAsia" w:ascii="仿宋_GB2312" w:eastAsia="仿宋_GB2312" w:cs="Droid Sans"/>
          <w:color w:val="auto"/>
          <w:sz w:val="32"/>
          <w:szCs w:val="32"/>
        </w:rPr>
        <w:t>万元。</w:t>
      </w:r>
    </w:p>
    <w:p w14:paraId="7AECCE7A">
      <w:pPr>
        <w:numPr>
          <w:ilvl w:val="0"/>
          <w:numId w:val="0"/>
        </w:numPr>
        <w:spacing w:line="560" w:lineRule="exact"/>
        <w:ind w:firstLine="640" w:firstLineChars="200"/>
        <w:rPr>
          <w:rFonts w:hint="default" w:ascii="仿宋_GB2312" w:eastAsia="仿宋_GB2312" w:cs="Droid Sans"/>
          <w:color w:val="auto"/>
          <w:sz w:val="32"/>
          <w:szCs w:val="32"/>
          <w:lang w:val="en-US" w:eastAsia="zh-CN"/>
        </w:rPr>
      </w:pPr>
      <w:r>
        <w:rPr>
          <w:rFonts w:hint="eastAsia" w:ascii="仿宋_GB2312" w:eastAsia="仿宋_GB2312" w:cs="Droid Sans"/>
          <w:color w:val="auto"/>
          <w:sz w:val="32"/>
          <w:szCs w:val="32"/>
          <w:lang w:val="en-US" w:eastAsia="zh-CN"/>
        </w:rPr>
        <w:t>8.事业单位经营收入</w:t>
      </w:r>
      <w:r>
        <w:rPr>
          <w:rFonts w:hint="eastAsia" w:ascii="仿宋_GB2312" w:eastAsia="仿宋_GB2312" w:cs="Droid Sans"/>
          <w:color w:val="auto"/>
          <w:sz w:val="32"/>
          <w:szCs w:val="32"/>
          <w:lang w:eastAsia="zh-CN"/>
        </w:rPr>
        <w:t>0</w:t>
      </w:r>
      <w:r>
        <w:rPr>
          <w:rFonts w:hint="eastAsia" w:ascii="仿宋_GB2312" w:eastAsia="仿宋_GB2312" w:cs="Droid Sans"/>
          <w:color w:val="auto"/>
          <w:sz w:val="32"/>
          <w:szCs w:val="32"/>
        </w:rPr>
        <w:t>万元。</w:t>
      </w:r>
    </w:p>
    <w:p w14:paraId="7CC5E286">
      <w:pPr>
        <w:numPr>
          <w:ilvl w:val="0"/>
          <w:numId w:val="0"/>
        </w:numPr>
        <w:spacing w:line="56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9.其他收入</w:t>
      </w:r>
      <w:r>
        <w:rPr>
          <w:rFonts w:hint="eastAsia" w:ascii="仿宋_GB2312" w:eastAsia="仿宋_GB2312" w:cs="Droid Sans"/>
          <w:color w:val="auto"/>
          <w:sz w:val="32"/>
          <w:szCs w:val="32"/>
          <w:lang w:eastAsia="zh-CN"/>
        </w:rPr>
        <w:t>2</w:t>
      </w:r>
      <w:r>
        <w:rPr>
          <w:rFonts w:hint="eastAsia" w:ascii="仿宋_GB2312" w:eastAsia="仿宋_GB2312" w:cs="Droid Sans"/>
          <w:color w:val="auto"/>
          <w:sz w:val="32"/>
          <w:szCs w:val="32"/>
          <w:lang w:val="en-US" w:eastAsia="zh-CN"/>
        </w:rPr>
        <w:t>0.00</w:t>
      </w:r>
      <w:r>
        <w:rPr>
          <w:rFonts w:hint="eastAsia" w:ascii="仿宋_GB2312" w:eastAsia="仿宋_GB2312" w:cs="Droid Sans"/>
          <w:color w:val="auto"/>
          <w:sz w:val="32"/>
          <w:szCs w:val="32"/>
        </w:rPr>
        <w:t>万元。</w:t>
      </w:r>
    </w:p>
    <w:p w14:paraId="2C876F1A">
      <w:pPr>
        <w:spacing w:line="560" w:lineRule="exact"/>
        <w:ind w:firstLine="640" w:firstLineChars="200"/>
        <w:rPr>
          <w:rFonts w:hint="eastAsia" w:ascii="楷体_GB2312" w:eastAsia="楷体_GB2312" w:cs="Droid Sans"/>
          <w:color w:val="auto"/>
          <w:sz w:val="32"/>
          <w:szCs w:val="32"/>
          <w:lang w:eastAsia="zh-CN"/>
        </w:rPr>
      </w:pPr>
      <w:r>
        <w:rPr>
          <w:rFonts w:hint="eastAsia" w:ascii="楷体_GB2312" w:eastAsia="楷体_GB2312"/>
          <w:color w:val="auto"/>
          <w:sz w:val="32"/>
          <w:szCs w:val="32"/>
        </w:rPr>
        <w:t>（</w:t>
      </w:r>
      <w:r>
        <w:rPr>
          <w:rFonts w:hint="eastAsia" w:ascii="楷体_GB2312" w:eastAsia="楷体_GB2312"/>
          <w:color w:val="auto"/>
          <w:sz w:val="32"/>
          <w:szCs w:val="32"/>
          <w:lang w:eastAsia="zh-CN"/>
        </w:rPr>
        <w:t>三</w:t>
      </w:r>
      <w:r>
        <w:rPr>
          <w:rFonts w:hint="eastAsia" w:ascii="楷体_GB2312" w:eastAsia="楷体_GB2312"/>
          <w:color w:val="auto"/>
          <w:sz w:val="32"/>
          <w:szCs w:val="32"/>
        </w:rPr>
        <w:t>）</w:t>
      </w:r>
      <w:r>
        <w:rPr>
          <w:rFonts w:hint="eastAsia" w:ascii="楷体_GB2312" w:eastAsia="楷体_GB2312"/>
          <w:color w:val="auto"/>
          <w:sz w:val="32"/>
          <w:szCs w:val="32"/>
          <w:lang w:eastAsia="zh-CN"/>
        </w:rPr>
        <w:t>上年结转结余</w:t>
      </w:r>
      <w:r>
        <w:rPr>
          <w:rFonts w:hint="eastAsia" w:ascii="楷体_GB2312" w:eastAsia="楷体_GB2312" w:cs="Droid Sans"/>
          <w:color w:val="auto"/>
          <w:sz w:val="32"/>
          <w:szCs w:val="32"/>
          <w:lang w:val="en-US" w:eastAsia="zh-CN"/>
        </w:rPr>
        <w:t>150.00</w:t>
      </w:r>
      <w:r>
        <w:rPr>
          <w:rFonts w:hint="eastAsia" w:ascii="楷体_GB2312" w:eastAsia="楷体_GB2312" w:cs="Droid Sans"/>
          <w:color w:val="auto"/>
          <w:sz w:val="32"/>
          <w:szCs w:val="32"/>
          <w:lang w:eastAsia="zh-CN"/>
        </w:rPr>
        <w:t>万元</w:t>
      </w:r>
    </w:p>
    <w:p w14:paraId="3071120C">
      <w:pPr>
        <w:spacing w:line="560" w:lineRule="exact"/>
        <w:ind w:firstLine="640" w:firstLineChars="200"/>
        <w:rPr>
          <w:rFonts w:hint="eastAsia"/>
        </w:rPr>
      </w:pPr>
      <w:r>
        <w:rPr>
          <w:rFonts w:hint="eastAsia" w:ascii="仿宋_GB2312" w:eastAsia="仿宋_GB2312" w:cs="Droid Sans"/>
          <w:color w:val="auto"/>
          <w:sz w:val="32"/>
          <w:szCs w:val="32"/>
          <w:lang w:val="en-US" w:eastAsia="zh-CN"/>
        </w:rPr>
        <w:t>10.上年结转结余150.00</w:t>
      </w:r>
      <w:r>
        <w:rPr>
          <w:rFonts w:hint="eastAsia" w:ascii="仿宋_GB2312" w:eastAsia="仿宋_GB2312" w:cs="Droid Sans"/>
          <w:color w:val="auto"/>
          <w:sz w:val="32"/>
          <w:szCs w:val="32"/>
        </w:rPr>
        <w:t>万元。</w:t>
      </w:r>
    </w:p>
    <w:p w14:paraId="729C8B0A">
      <w:pPr>
        <w:pStyle w:val="2"/>
        <w:jc w:val="both"/>
      </w:pPr>
      <w:r>
        <w:rPr>
          <w:rFonts w:hint="eastAsia"/>
          <w:lang w:val="en-US" w:eastAsia="zh-CN"/>
        </w:rPr>
        <w:t xml:space="preserve">  </w:t>
      </w:r>
      <w:r>
        <w:drawing>
          <wp:inline distT="0" distB="0" distL="114300" distR="114300">
            <wp:extent cx="4816475" cy="2875915"/>
            <wp:effectExtent l="4445" t="4445" r="17780" b="1524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AFFF085">
      <w:pPr>
        <w:pStyle w:val="2"/>
        <w:ind w:firstLine="0"/>
        <w:jc w:val="center"/>
        <w:rPr>
          <w:rFonts w:hint="default"/>
          <w:lang w:val="en-US" w:eastAsia="zh-CN"/>
        </w:rPr>
      </w:pPr>
      <w:r>
        <w:rPr>
          <w:rFonts w:hint="eastAsia" w:ascii="仿宋_GB2312" w:eastAsia="仿宋_GB2312"/>
          <w:color w:val="auto"/>
          <w:sz w:val="32"/>
          <w:szCs w:val="32"/>
          <w:lang w:val="en-US" w:eastAsia="zh-CN"/>
        </w:rPr>
        <w:t>图1：收入预算</w:t>
      </w:r>
    </w:p>
    <w:p w14:paraId="21DF4F0E">
      <w:pPr>
        <w:spacing w:line="560" w:lineRule="exact"/>
        <w:ind w:firstLine="640" w:firstLineChars="200"/>
        <w:rPr>
          <w:rFonts w:hint="eastAsia" w:ascii="黑体" w:eastAsia="黑体" w:cs="Droid Sans"/>
          <w:color w:val="auto"/>
          <w:sz w:val="32"/>
          <w:szCs w:val="32"/>
        </w:rPr>
      </w:pPr>
      <w:r>
        <w:rPr>
          <w:rFonts w:hint="eastAsia" w:ascii="黑体" w:eastAsia="黑体" w:cs="Droid Sans"/>
          <w:color w:val="auto"/>
          <w:sz w:val="32"/>
          <w:szCs w:val="32"/>
          <w:lang w:eastAsia="zh-CN"/>
        </w:rPr>
        <w:t>三、</w:t>
      </w:r>
      <w:r>
        <w:rPr>
          <w:rFonts w:hint="eastAsia" w:ascii="黑体" w:eastAsia="黑体" w:cs="Droid Sans"/>
          <w:color w:val="auto"/>
          <w:sz w:val="32"/>
          <w:szCs w:val="32"/>
        </w:rPr>
        <w:t>支出</w:t>
      </w:r>
      <w:r>
        <w:rPr>
          <w:rFonts w:hint="eastAsia" w:ascii="黑体" w:eastAsia="黑体" w:cs="Droid Sans"/>
          <w:color w:val="auto"/>
          <w:sz w:val="32"/>
          <w:szCs w:val="32"/>
          <w:lang w:eastAsia="zh-CN"/>
        </w:rPr>
        <w:t>预算</w:t>
      </w:r>
      <w:r>
        <w:rPr>
          <w:rFonts w:hint="eastAsia" w:ascii="黑体" w:eastAsia="黑体" w:cs="Droid Sans"/>
          <w:color w:val="auto"/>
          <w:sz w:val="32"/>
          <w:szCs w:val="32"/>
        </w:rPr>
        <w:t>情况说明</w:t>
      </w:r>
    </w:p>
    <w:p w14:paraId="176AF8CD">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2025年</w:t>
      </w:r>
      <w:r>
        <w:rPr>
          <w:rFonts w:hint="eastAsia" w:ascii="仿宋_GB2312" w:eastAsia="仿宋_GB2312"/>
          <w:color w:val="auto"/>
          <w:sz w:val="32"/>
          <w:szCs w:val="32"/>
        </w:rPr>
        <w:t>支出预算</w:t>
      </w:r>
      <w:r>
        <w:rPr>
          <w:rFonts w:hint="eastAsia" w:ascii="仿宋_GB2312" w:eastAsia="仿宋_GB2312"/>
          <w:color w:val="auto"/>
          <w:sz w:val="32"/>
          <w:szCs w:val="32"/>
          <w:lang w:val="en-US" w:eastAsia="zh-CN"/>
        </w:rPr>
        <w:t>6312.37</w:t>
      </w:r>
      <w:r>
        <w:rPr>
          <w:rFonts w:hint="eastAsia" w:ascii="仿宋_GB2312" w:eastAsia="仿宋_GB2312"/>
          <w:color w:val="auto"/>
          <w:sz w:val="32"/>
          <w:szCs w:val="32"/>
        </w:rPr>
        <w:t>万元，比</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eastAsia="zh-CN"/>
        </w:rPr>
        <w:t>年年初预算数</w:t>
      </w:r>
      <w:r>
        <w:rPr>
          <w:rFonts w:hint="eastAsia" w:ascii="仿宋_GB2312" w:eastAsia="仿宋_GB2312"/>
          <w:color w:val="auto"/>
          <w:sz w:val="32"/>
          <w:szCs w:val="32"/>
          <w:lang w:val="en-US" w:eastAsia="zh-CN"/>
        </w:rPr>
        <w:t>6143.80</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增加168.57</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增长2.74</w:t>
      </w:r>
      <w:r>
        <w:rPr>
          <w:rFonts w:hint="eastAsia" w:ascii="仿宋_GB2312" w:eastAsia="仿宋_GB2312"/>
          <w:color w:val="auto"/>
          <w:sz w:val="32"/>
          <w:szCs w:val="32"/>
        </w:rPr>
        <w:t>%。</w:t>
      </w:r>
      <w:r>
        <w:rPr>
          <w:rFonts w:hint="eastAsia" w:ascii="仿宋_GB2312" w:eastAsia="仿宋_GB2312"/>
          <w:color w:val="auto"/>
          <w:sz w:val="32"/>
          <w:szCs w:val="32"/>
          <w:lang w:eastAsia="zh-CN"/>
        </w:rPr>
        <w:t>主要原因是</w:t>
      </w:r>
      <w:r>
        <w:rPr>
          <w:rFonts w:hint="eastAsia" w:ascii="仿宋_GB2312" w:eastAsia="仿宋_GB2312"/>
          <w:sz w:val="32"/>
          <w:szCs w:val="32"/>
        </w:rPr>
        <w:t>为持续推动地热“两能”</w:t>
      </w:r>
      <w:r>
        <w:rPr>
          <w:rFonts w:hint="eastAsia" w:ascii="仿宋_GB2312" w:eastAsia="仿宋_GB2312"/>
          <w:sz w:val="32"/>
          <w:szCs w:val="32"/>
          <w:lang w:val="en-US" w:eastAsia="zh-CN"/>
        </w:rPr>
        <w:t>事业</w:t>
      </w:r>
      <w:r>
        <w:rPr>
          <w:rFonts w:hint="eastAsia" w:ascii="仿宋_GB2312" w:eastAsia="仿宋_GB2312"/>
          <w:sz w:val="32"/>
          <w:szCs w:val="32"/>
        </w:rPr>
        <w:t>高质量发展，</w:t>
      </w:r>
      <w:r>
        <w:rPr>
          <w:rFonts w:hint="eastAsia" w:ascii="仿宋_GB2312" w:eastAsia="仿宋_GB2312"/>
          <w:sz w:val="32"/>
          <w:szCs w:val="32"/>
          <w:lang w:val="en-US" w:eastAsia="zh-CN"/>
        </w:rPr>
        <w:t>积极</w:t>
      </w:r>
      <w:r>
        <w:rPr>
          <w:rFonts w:hint="eastAsia" w:ascii="仿宋_GB2312" w:eastAsia="仿宋_GB2312"/>
          <w:sz w:val="32"/>
          <w:szCs w:val="32"/>
        </w:rPr>
        <w:t>开展商业地质项目，项目支出增加</w:t>
      </w:r>
      <w:r>
        <w:rPr>
          <w:rFonts w:hint="eastAsia" w:ascii="仿宋_GB2312" w:eastAsia="仿宋_GB2312"/>
          <w:color w:val="auto"/>
          <w:sz w:val="32"/>
          <w:szCs w:val="32"/>
          <w:lang w:eastAsia="zh-CN"/>
        </w:rPr>
        <w:t>。</w:t>
      </w:r>
    </w:p>
    <w:p w14:paraId="0F8FEA0C">
      <w:pPr>
        <w:ind w:firstLine="555"/>
        <w:rPr>
          <w:rFonts w:hint="eastAsia" w:ascii="仿宋_GB2312" w:eastAsia="仿宋_GB2312"/>
          <w:color w:val="auto"/>
          <w:sz w:val="32"/>
          <w:szCs w:val="32"/>
        </w:rPr>
      </w:pP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rPr>
        <w:t>基本</w:t>
      </w:r>
      <w:r>
        <w:rPr>
          <w:rFonts w:hint="eastAsia" w:ascii="楷体_GB2312" w:hAnsi="楷体_GB2312" w:eastAsia="楷体_GB2312" w:cs="楷体_GB2312"/>
          <w:color w:val="auto"/>
          <w:sz w:val="32"/>
          <w:szCs w:val="32"/>
          <w:lang w:eastAsia="zh-CN"/>
        </w:rPr>
        <w:t>支出。</w:t>
      </w:r>
      <w:r>
        <w:rPr>
          <w:rFonts w:hint="eastAsia" w:ascii="仿宋_GB2312" w:eastAsia="仿宋_GB2312"/>
          <w:sz w:val="32"/>
          <w:szCs w:val="32"/>
          <w:highlight w:val="none"/>
        </w:rPr>
        <w:t>基本支出预算</w:t>
      </w:r>
      <w:r>
        <w:rPr>
          <w:rFonts w:hint="eastAsia" w:ascii="仿宋_GB2312" w:eastAsia="仿宋_GB2312"/>
          <w:sz w:val="32"/>
          <w:szCs w:val="32"/>
        </w:rPr>
        <w:t>5442.54</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本年</w:t>
      </w:r>
      <w:r>
        <w:rPr>
          <w:rFonts w:hint="eastAsia" w:ascii="仿宋_GB2312" w:eastAsia="仿宋_GB2312"/>
          <w:sz w:val="32"/>
          <w:szCs w:val="32"/>
          <w:highlight w:val="none"/>
        </w:rPr>
        <w:t>支出预算</w:t>
      </w:r>
      <w:r>
        <w:rPr>
          <w:rFonts w:hint="eastAsia" w:ascii="仿宋_GB2312" w:eastAsia="仿宋_GB2312"/>
          <w:sz w:val="32"/>
          <w:szCs w:val="32"/>
          <w:highlight w:val="none"/>
          <w:lang w:val="en-US" w:eastAsia="zh-CN"/>
        </w:rPr>
        <w:t>86.22</w:t>
      </w:r>
      <w:r>
        <w:rPr>
          <w:rFonts w:hint="eastAsia" w:ascii="仿宋_GB2312" w:eastAsia="仿宋_GB2312"/>
          <w:sz w:val="32"/>
          <w:szCs w:val="32"/>
          <w:highlight w:val="none"/>
        </w:rPr>
        <w:t>%，比202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年初预算数5592.64</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减少150.10</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下降2.68</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p>
    <w:p w14:paraId="5A998C6C">
      <w:pPr>
        <w:ind w:firstLine="640" w:firstLineChars="200"/>
        <w:rPr>
          <w:rFonts w:hint="eastAsia" w:ascii="仿宋_GB2312" w:eastAsia="仿宋_GB2312"/>
          <w:sz w:val="32"/>
          <w:szCs w:val="32"/>
          <w:highlight w:val="none"/>
          <w:lang w:eastAsia="zh-CN"/>
        </w:rPr>
      </w:pPr>
      <w:r>
        <w:rPr>
          <w:rFonts w:hint="eastAsia" w:ascii="楷体_GB2312" w:hAnsi="楷体_GB2312" w:eastAsia="楷体_GB2312" w:cs="楷体_GB2312"/>
          <w:color w:val="auto"/>
          <w:sz w:val="32"/>
          <w:szCs w:val="32"/>
          <w:lang w:eastAsia="zh-CN"/>
        </w:rPr>
        <w:t>（二）项目支出。</w:t>
      </w:r>
      <w:r>
        <w:rPr>
          <w:rFonts w:hint="eastAsia" w:ascii="仿宋_GB2312" w:eastAsia="仿宋_GB2312"/>
          <w:sz w:val="32"/>
          <w:szCs w:val="32"/>
          <w:highlight w:val="none"/>
        </w:rPr>
        <w:t>项目支出预算</w:t>
      </w:r>
      <w:r>
        <w:rPr>
          <w:rFonts w:hint="eastAsia" w:ascii="仿宋_GB2312" w:eastAsia="仿宋_GB2312"/>
          <w:sz w:val="32"/>
          <w:szCs w:val="32"/>
          <w:highlight w:val="none"/>
          <w:lang w:val="en-US" w:eastAsia="zh-CN"/>
        </w:rPr>
        <w:t>869.83</w:t>
      </w:r>
      <w:r>
        <w:rPr>
          <w:rFonts w:hint="eastAsia" w:ascii="仿宋_GB2312" w:eastAsia="仿宋_GB2312"/>
          <w:sz w:val="32"/>
          <w:szCs w:val="32"/>
          <w:highlight w:val="none"/>
        </w:rPr>
        <w:t>万元，比202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年初预算数551.16</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增加318.67</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增长57.82%。</w:t>
      </w:r>
      <w:r>
        <w:rPr>
          <w:rFonts w:hint="eastAsia" w:ascii="仿宋_GB2312" w:eastAsia="仿宋_GB2312"/>
          <w:sz w:val="32"/>
          <w:szCs w:val="32"/>
          <w:highlight w:val="none"/>
          <w:lang w:eastAsia="zh-CN"/>
        </w:rPr>
        <w:t>其中：</w:t>
      </w:r>
    </w:p>
    <w:p w14:paraId="26EE2948">
      <w:pPr>
        <w:spacing w:line="560" w:lineRule="exact"/>
        <w:ind w:firstLine="640"/>
        <w:rPr>
          <w:rFonts w:hint="eastAsia" w:ascii="仿宋_GB2312" w:eastAsia="仿宋_GB2312" w:cs="Droid Sans"/>
          <w:color w:val="auto"/>
          <w:sz w:val="32"/>
          <w:szCs w:val="32"/>
        </w:rPr>
      </w:pPr>
      <w:r>
        <w:rPr>
          <w:rFonts w:hint="eastAsia" w:ascii="仿宋_GB2312" w:eastAsia="仿宋_GB2312" w:cs="Droid Sans"/>
          <w:color w:val="auto"/>
          <w:sz w:val="32"/>
          <w:szCs w:val="32"/>
        </w:rPr>
        <w:t>1.事业单位经营支出</w:t>
      </w:r>
      <w:r>
        <w:rPr>
          <w:rFonts w:hint="eastAsia" w:ascii="仿宋_GB2312" w:eastAsia="仿宋_GB2312" w:cs="Droid Sans"/>
          <w:color w:val="auto"/>
          <w:sz w:val="32"/>
          <w:szCs w:val="32"/>
          <w:lang w:eastAsia="zh-CN"/>
        </w:rPr>
        <w:t>0</w:t>
      </w:r>
      <w:r>
        <w:rPr>
          <w:rFonts w:hint="eastAsia" w:ascii="仿宋_GB2312" w:eastAsia="仿宋_GB2312" w:cs="Droid Sans"/>
          <w:color w:val="auto"/>
          <w:sz w:val="32"/>
          <w:szCs w:val="32"/>
        </w:rPr>
        <w:t>万元。</w:t>
      </w:r>
    </w:p>
    <w:p w14:paraId="41C1A64B">
      <w:pPr>
        <w:spacing w:line="560" w:lineRule="exact"/>
        <w:ind w:firstLine="640"/>
        <w:rPr>
          <w:rFonts w:hint="eastAsia" w:ascii="仿宋_GB2312" w:eastAsia="仿宋_GB2312" w:cs="Droid Sans"/>
          <w:color w:val="auto"/>
          <w:sz w:val="32"/>
          <w:szCs w:val="32"/>
        </w:rPr>
      </w:pPr>
      <w:r>
        <w:rPr>
          <w:rFonts w:hint="eastAsia" w:ascii="仿宋_GB2312" w:eastAsia="仿宋_GB2312" w:cs="Droid Sans"/>
          <w:color w:val="auto"/>
          <w:sz w:val="32"/>
          <w:szCs w:val="32"/>
        </w:rPr>
        <w:t>2.上缴上级支出</w:t>
      </w:r>
      <w:r>
        <w:rPr>
          <w:rFonts w:hint="eastAsia" w:ascii="仿宋_GB2312" w:eastAsia="仿宋_GB2312" w:cs="Droid Sans"/>
          <w:color w:val="auto"/>
          <w:sz w:val="32"/>
          <w:szCs w:val="32"/>
          <w:lang w:eastAsia="zh-CN"/>
        </w:rPr>
        <w:t>0</w:t>
      </w:r>
      <w:r>
        <w:rPr>
          <w:rFonts w:hint="eastAsia" w:ascii="仿宋_GB2312" w:eastAsia="仿宋_GB2312" w:cs="Droid Sans"/>
          <w:color w:val="auto"/>
          <w:sz w:val="32"/>
          <w:szCs w:val="32"/>
        </w:rPr>
        <w:t>万元。</w:t>
      </w:r>
    </w:p>
    <w:p w14:paraId="0CB33E2B">
      <w:pPr>
        <w:spacing w:line="560" w:lineRule="exact"/>
        <w:ind w:firstLine="640"/>
        <w:rPr>
          <w:rFonts w:hint="eastAsia" w:ascii="仿宋_GB2312" w:eastAsia="仿宋_GB2312" w:cs="Droid Sans"/>
          <w:color w:val="auto"/>
          <w:sz w:val="32"/>
          <w:szCs w:val="32"/>
        </w:rPr>
      </w:pPr>
      <w:r>
        <w:rPr>
          <w:rFonts w:hint="eastAsia" w:ascii="仿宋_GB2312" w:eastAsia="仿宋_GB2312" w:cs="Droid Sans"/>
          <w:color w:val="auto"/>
          <w:sz w:val="32"/>
          <w:szCs w:val="32"/>
        </w:rPr>
        <w:t>3.对附属单位补助支出</w:t>
      </w:r>
      <w:r>
        <w:rPr>
          <w:rFonts w:hint="eastAsia" w:ascii="仿宋_GB2312" w:eastAsia="仿宋_GB2312" w:cs="Droid Sans"/>
          <w:color w:val="auto"/>
          <w:sz w:val="32"/>
          <w:szCs w:val="32"/>
          <w:lang w:eastAsia="zh-CN"/>
        </w:rPr>
        <w:t>0</w:t>
      </w:r>
      <w:r>
        <w:rPr>
          <w:rFonts w:hint="eastAsia" w:ascii="仿宋_GB2312" w:eastAsia="仿宋_GB2312" w:cs="Droid Sans"/>
          <w:color w:val="auto"/>
          <w:sz w:val="32"/>
          <w:szCs w:val="32"/>
        </w:rPr>
        <w:t>万元。</w:t>
      </w:r>
    </w:p>
    <w:p w14:paraId="04BA3958">
      <w:pPr>
        <w:pStyle w:val="2"/>
        <w:jc w:val="center"/>
      </w:pPr>
      <w:r>
        <w:drawing>
          <wp:inline distT="0" distB="0" distL="114300" distR="114300">
            <wp:extent cx="4568190" cy="2743200"/>
            <wp:effectExtent l="4445" t="4445" r="18415" b="14605"/>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8A87C3D">
      <w:pPr>
        <w:pStyle w:val="2"/>
        <w:ind w:firstLine="642"/>
        <w:jc w:val="center"/>
      </w:pPr>
      <w:r>
        <w:rPr>
          <w:rFonts w:hint="eastAsia" w:ascii="仿宋_GB2312" w:eastAsia="仿宋_GB2312"/>
          <w:color w:val="auto"/>
          <w:sz w:val="32"/>
          <w:szCs w:val="32"/>
          <w:lang w:val="en-US" w:eastAsia="zh-CN"/>
        </w:rPr>
        <w:t>图2：基本支出和项目支出情况</w:t>
      </w:r>
    </w:p>
    <w:p w14:paraId="06A80B4F">
      <w:pPr>
        <w:numPr>
          <w:ilvl w:val="0"/>
          <w:numId w:val="0"/>
        </w:numPr>
        <w:spacing w:line="560" w:lineRule="exact"/>
        <w:ind w:firstLine="640" w:firstLineChars="200"/>
        <w:rPr>
          <w:rFonts w:hint="default" w:ascii="楷体_GB2312" w:hAnsi="楷体_GB2312" w:eastAsia="楷体_GB2312" w:cs="楷体_GB2312"/>
          <w:color w:val="000000"/>
          <w:sz w:val="32"/>
          <w:szCs w:val="32"/>
          <w:highlight w:val="none"/>
          <w:u w:val="none"/>
          <w:lang w:eastAsia="zh-CN"/>
        </w:rPr>
      </w:pPr>
      <w:r>
        <w:rPr>
          <w:rFonts w:hint="eastAsia" w:ascii="楷体_GB2312" w:hAnsi="楷体_GB2312" w:eastAsia="楷体_GB2312" w:cs="楷体_GB2312"/>
          <w:color w:val="000000"/>
          <w:sz w:val="32"/>
          <w:szCs w:val="32"/>
          <w:highlight w:val="none"/>
          <w:u w:val="none"/>
          <w:lang w:eastAsia="zh-CN"/>
        </w:rPr>
        <w:t>（三）年终结转结余</w:t>
      </w:r>
      <w:r>
        <w:rPr>
          <w:rFonts w:hint="eastAsia" w:ascii="楷体_GB2312" w:hAnsi="楷体_GB2312" w:eastAsia="楷体_GB2312" w:cs="楷体_GB2312"/>
          <w:color w:val="000000"/>
          <w:sz w:val="32"/>
          <w:szCs w:val="32"/>
          <w:highlight w:val="none"/>
          <w:u w:val="none"/>
          <w:lang w:val="en-US" w:eastAsia="zh-CN"/>
        </w:rPr>
        <w:t>资金0万元。</w:t>
      </w:r>
    </w:p>
    <w:p w14:paraId="0970DCE6">
      <w:pPr>
        <w:spacing w:line="560" w:lineRule="exact"/>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、财政拨款“三公”经费预算</w:t>
      </w:r>
      <w:r>
        <w:rPr>
          <w:rFonts w:hint="eastAsia" w:ascii="黑体" w:eastAsia="黑体"/>
          <w:color w:val="auto"/>
          <w:sz w:val="32"/>
          <w:szCs w:val="32"/>
          <w:lang w:eastAsia="zh-CN"/>
        </w:rPr>
        <w:t>情况</w:t>
      </w:r>
      <w:r>
        <w:rPr>
          <w:rFonts w:hint="eastAsia" w:ascii="黑体" w:eastAsia="黑体"/>
          <w:color w:val="auto"/>
          <w:sz w:val="32"/>
          <w:szCs w:val="32"/>
        </w:rPr>
        <w:t>说明</w:t>
      </w:r>
    </w:p>
    <w:p w14:paraId="5E444C93">
      <w:pPr>
        <w:spacing w:line="56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rPr>
        <w:t>本</w:t>
      </w:r>
      <w:r>
        <w:rPr>
          <w:rFonts w:hint="eastAsia" w:ascii="仿宋_GB2312" w:eastAsia="仿宋_GB2312" w:cs="Droid Sans"/>
          <w:color w:val="auto"/>
          <w:sz w:val="32"/>
          <w:szCs w:val="32"/>
          <w:lang w:eastAsia="zh-CN"/>
        </w:rPr>
        <w:t>单位2025年</w:t>
      </w:r>
      <w:r>
        <w:rPr>
          <w:rFonts w:hint="eastAsia" w:ascii="仿宋_GB2312" w:eastAsia="仿宋_GB2312" w:cs="Droid Sans"/>
          <w:color w:val="auto"/>
          <w:sz w:val="32"/>
          <w:szCs w:val="32"/>
        </w:rPr>
        <w:t>无财政拨款安排的</w:t>
      </w:r>
      <w:r>
        <w:rPr>
          <w:rFonts w:hint="eastAsia" w:ascii="仿宋_GB2312" w:eastAsia="仿宋_GB2312" w:cs="Droid Sans"/>
          <w:color w:val="auto"/>
          <w:sz w:val="32"/>
          <w:szCs w:val="32"/>
          <w:lang w:eastAsia="zh-CN"/>
        </w:rPr>
        <w:t>“</w:t>
      </w:r>
      <w:r>
        <w:rPr>
          <w:rFonts w:hint="eastAsia" w:ascii="仿宋_GB2312" w:eastAsia="仿宋_GB2312" w:cs="Droid Sans"/>
          <w:color w:val="auto"/>
          <w:sz w:val="32"/>
          <w:szCs w:val="32"/>
        </w:rPr>
        <w:t>三公</w:t>
      </w:r>
      <w:r>
        <w:rPr>
          <w:rFonts w:hint="eastAsia" w:ascii="仿宋_GB2312" w:eastAsia="仿宋_GB2312" w:cs="Droid Sans"/>
          <w:color w:val="auto"/>
          <w:sz w:val="32"/>
          <w:szCs w:val="32"/>
          <w:lang w:eastAsia="zh-CN"/>
        </w:rPr>
        <w:t>”</w:t>
      </w:r>
      <w:r>
        <w:rPr>
          <w:rFonts w:hint="eastAsia" w:ascii="仿宋_GB2312" w:eastAsia="仿宋_GB2312" w:cs="Droid Sans"/>
          <w:color w:val="auto"/>
          <w:sz w:val="32"/>
          <w:szCs w:val="32"/>
        </w:rPr>
        <w:t>经费预算</w:t>
      </w:r>
      <w:r>
        <w:rPr>
          <w:rFonts w:hint="eastAsia" w:ascii="仿宋_GB2312" w:eastAsia="仿宋_GB2312" w:cs="Droid Sans"/>
          <w:color w:val="auto"/>
          <w:sz w:val="32"/>
          <w:szCs w:val="32"/>
          <w:lang w:eastAsia="zh-CN"/>
        </w:rPr>
        <w:t>。</w:t>
      </w:r>
    </w:p>
    <w:p w14:paraId="6B941102">
      <w:pPr>
        <w:spacing w:line="560" w:lineRule="exact"/>
        <w:ind w:firstLine="640" w:firstLineChars="200"/>
        <w:rPr>
          <w:rFonts w:hint="eastAsia" w:ascii="黑体" w:eastAsia="黑体"/>
          <w:color w:val="auto"/>
          <w:sz w:val="32"/>
          <w:szCs w:val="32"/>
        </w:rPr>
      </w:pPr>
      <w:r>
        <w:rPr>
          <w:rFonts w:hint="eastAsia" w:ascii="黑体" w:eastAsia="黑体"/>
          <w:color w:val="auto"/>
          <w:sz w:val="32"/>
          <w:szCs w:val="32"/>
          <w:lang w:eastAsia="zh-CN"/>
        </w:rPr>
        <w:t>五</w:t>
      </w:r>
      <w:r>
        <w:rPr>
          <w:rFonts w:hint="eastAsia" w:ascii="黑体" w:eastAsia="黑体"/>
          <w:color w:val="auto"/>
          <w:sz w:val="32"/>
          <w:szCs w:val="32"/>
        </w:rPr>
        <w:t>、其他情况说明</w:t>
      </w:r>
    </w:p>
    <w:p w14:paraId="0279F063">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（一）政府采购预算说明</w:t>
      </w:r>
    </w:p>
    <w:p w14:paraId="38D3C0FC">
      <w:pPr>
        <w:spacing w:line="560" w:lineRule="exact"/>
        <w:ind w:firstLine="640" w:firstLineChars="200"/>
        <w:rPr>
          <w:rFonts w:hint="default" w:ascii="仿宋_GB2312" w:eastAsia="仿宋_GB2312"/>
          <w:color w:val="000000"/>
          <w:sz w:val="32"/>
          <w:szCs w:val="32"/>
        </w:rPr>
      </w:pPr>
      <w:r>
        <w:rPr>
          <w:rFonts w:hint="eastAsia" w:ascii="仿宋_GB2312" w:eastAsia="仿宋_GB2312"/>
          <w:color w:val="000000"/>
          <w:sz w:val="32"/>
          <w:szCs w:val="32"/>
          <w:lang w:eastAsia="zh-CN"/>
        </w:rPr>
        <w:t>2025</w:t>
      </w:r>
      <w:r>
        <w:rPr>
          <w:rFonts w:hint="eastAsia" w:ascii="仿宋_GB2312" w:eastAsia="仿宋_GB2312"/>
          <w:color w:val="000000"/>
          <w:sz w:val="32"/>
          <w:szCs w:val="32"/>
        </w:rPr>
        <w:t>年北京市地热调查研究所政府采购预算总额</w:t>
      </w:r>
      <w:r>
        <w:rPr>
          <w:rFonts w:hint="eastAsia" w:ascii="仿宋_GB2312" w:eastAsia="仿宋_GB2312"/>
          <w:color w:val="000000"/>
          <w:sz w:val="32"/>
          <w:szCs w:val="32"/>
          <w:lang w:eastAsia="zh-CN"/>
        </w:rPr>
        <w:t>为</w:t>
      </w:r>
      <w:r>
        <w:rPr>
          <w:rFonts w:hint="eastAsia" w:ascii="仿宋_GB2312" w:eastAsia="仿宋_GB2312"/>
          <w:color w:val="000000"/>
          <w:sz w:val="32"/>
          <w:szCs w:val="32"/>
          <w:lang w:val="en-US" w:eastAsia="zh-CN"/>
        </w:rPr>
        <w:t>555.29</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其中：政府采购货物预算</w:t>
      </w:r>
      <w:r>
        <w:rPr>
          <w:rFonts w:hint="eastAsia" w:ascii="仿宋_GB2312" w:eastAsia="仿宋_GB2312"/>
          <w:color w:val="000000"/>
          <w:sz w:val="32"/>
          <w:szCs w:val="32"/>
          <w:lang w:val="en-US" w:eastAsia="zh-CN"/>
        </w:rPr>
        <w:t>83.14</w:t>
      </w:r>
      <w:r>
        <w:rPr>
          <w:rFonts w:hint="eastAsia" w:ascii="仿宋_GB2312" w:eastAsia="仿宋_GB2312"/>
          <w:color w:val="000000"/>
          <w:sz w:val="32"/>
          <w:szCs w:val="32"/>
        </w:rPr>
        <w:t>万元，政府采购工程预算0万元，政府采购服务预算</w:t>
      </w:r>
      <w:r>
        <w:rPr>
          <w:rFonts w:hint="eastAsia" w:ascii="仿宋_GB2312" w:eastAsia="仿宋_GB2312"/>
          <w:color w:val="000000"/>
          <w:sz w:val="32"/>
          <w:szCs w:val="32"/>
          <w:lang w:val="en-US" w:eastAsia="zh-CN"/>
        </w:rPr>
        <w:t>472.15</w:t>
      </w:r>
      <w:r>
        <w:rPr>
          <w:rFonts w:hint="eastAsia" w:ascii="仿宋_GB2312" w:eastAsia="仿宋_GB2312"/>
          <w:color w:val="000000"/>
          <w:sz w:val="32"/>
          <w:szCs w:val="32"/>
        </w:rPr>
        <w:t>万元。</w:t>
      </w:r>
    </w:p>
    <w:p w14:paraId="52E82B40">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（二）政府购买服务预算说明</w:t>
      </w:r>
    </w:p>
    <w:p w14:paraId="77C7995B">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000000"/>
          <w:sz w:val="32"/>
          <w:szCs w:val="32"/>
          <w:lang w:eastAsia="zh-CN"/>
        </w:rPr>
        <w:t>本单位2025年无政府购买服务预算</w:t>
      </w:r>
      <w:r>
        <w:rPr>
          <w:rFonts w:hint="eastAsia" w:ascii="仿宋_GB2312" w:eastAsia="仿宋_GB2312"/>
          <w:color w:val="000000"/>
          <w:sz w:val="32"/>
          <w:szCs w:val="32"/>
        </w:rPr>
        <w:t>。</w:t>
      </w:r>
    </w:p>
    <w:p w14:paraId="35B94413">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（三）机关运行经费说明</w:t>
      </w:r>
    </w:p>
    <w:p w14:paraId="4246D16E">
      <w:pPr>
        <w:spacing w:line="56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lang w:val="en-US" w:eastAsia="zh-CN"/>
        </w:rPr>
        <w:t>本</w:t>
      </w:r>
      <w:r>
        <w:rPr>
          <w:rFonts w:hint="eastAsia" w:ascii="仿宋_GB2312" w:eastAsia="仿宋_GB2312" w:cs="Droid Sans"/>
          <w:color w:val="auto"/>
          <w:sz w:val="32"/>
          <w:szCs w:val="32"/>
        </w:rPr>
        <w:t>单位不在机关运行经费统计范围之内。</w:t>
      </w:r>
    </w:p>
    <w:p w14:paraId="2179F651">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（四）项目支出绩效目标情况说明</w:t>
      </w:r>
    </w:p>
    <w:p w14:paraId="08F48C85">
      <w:pPr>
        <w:ind w:firstLine="555" w:firstLineChars="0"/>
        <w:rPr>
          <w:rFonts w:hint="eastAsia" w:ascii="仿宋_GB2312" w:hAnsi="Times New Roman" w:eastAsia="仿宋_GB2312"/>
          <w:color w:val="auto"/>
          <w:sz w:val="32"/>
          <w:szCs w:val="32"/>
          <w:highlight w:val="none"/>
          <w:lang w:eastAsia="zh-CN"/>
        </w:rPr>
      </w:pPr>
      <w:r>
        <w:rPr>
          <w:rFonts w:hint="eastAsia" w:ascii="仿宋_GB2312" w:eastAsia="仿宋_GB2312"/>
          <w:sz w:val="32"/>
          <w:szCs w:val="32"/>
          <w:highlight w:val="none"/>
          <w:lang w:eastAsia="zh-CN"/>
        </w:rPr>
        <w:t>2025</w:t>
      </w:r>
      <w:r>
        <w:rPr>
          <w:rFonts w:hint="eastAsia" w:ascii="仿宋_GB2312" w:hAnsi="Times New Roman" w:eastAsia="仿宋_GB2312"/>
          <w:sz w:val="32"/>
          <w:szCs w:val="32"/>
          <w:highlight w:val="none"/>
          <w:lang w:eastAsia="zh-CN"/>
        </w:rPr>
        <w:t>年，北京市地热调查研究所填报绩效目标的预算项目</w:t>
      </w:r>
      <w:r>
        <w:rPr>
          <w:rFonts w:hint="eastAsia" w:ascii="仿宋_GB2312" w:eastAsia="仿宋_GB2312"/>
          <w:sz w:val="32"/>
          <w:szCs w:val="32"/>
          <w:highlight w:val="none"/>
          <w:lang w:val="en-US" w:eastAsia="zh-CN"/>
        </w:rPr>
        <w:t>4</w:t>
      </w:r>
      <w:r>
        <w:rPr>
          <w:rFonts w:hint="eastAsia" w:ascii="仿宋_GB2312" w:hAnsi="Times New Roman" w:eastAsia="仿宋_GB2312"/>
          <w:sz w:val="32"/>
          <w:szCs w:val="32"/>
          <w:highlight w:val="none"/>
          <w:lang w:eastAsia="zh-CN"/>
        </w:rPr>
        <w:t>个，占</w:t>
      </w:r>
      <w:r>
        <w:rPr>
          <w:rFonts w:hint="eastAsia" w:ascii="仿宋_GB2312" w:eastAsia="仿宋_GB2312"/>
          <w:sz w:val="32"/>
          <w:szCs w:val="32"/>
          <w:highlight w:val="none"/>
          <w:lang w:val="en-US" w:eastAsia="zh-CN"/>
        </w:rPr>
        <w:t>本单位本年预算项目4</w:t>
      </w:r>
      <w:r>
        <w:rPr>
          <w:rFonts w:hint="eastAsia" w:ascii="仿宋_GB2312" w:hAnsi="Times New Roman" w:eastAsia="仿宋_GB2312"/>
          <w:sz w:val="32"/>
          <w:szCs w:val="32"/>
          <w:highlight w:val="none"/>
          <w:lang w:eastAsia="zh-CN"/>
        </w:rPr>
        <w:t>个的</w:t>
      </w:r>
      <w:r>
        <w:rPr>
          <w:rFonts w:hint="eastAsia" w:ascii="仿宋_GB2312" w:hAnsi="Times New Roman" w:eastAsia="仿宋_GB2312"/>
          <w:sz w:val="32"/>
          <w:szCs w:val="32"/>
          <w:highlight w:val="none"/>
          <w:lang w:val="en-US" w:eastAsia="zh-CN"/>
        </w:rPr>
        <w:t>100</w:t>
      </w:r>
      <w:r>
        <w:rPr>
          <w:rFonts w:hint="eastAsia" w:ascii="仿宋_GB2312" w:hAnsi="Times New Roman" w:eastAsia="仿宋_GB2312"/>
          <w:sz w:val="32"/>
          <w:szCs w:val="32"/>
          <w:highlight w:val="none"/>
          <w:lang w:eastAsia="zh-CN"/>
        </w:rPr>
        <w:t>%。填报绩效目标的项目支出预算</w:t>
      </w:r>
      <w:r>
        <w:rPr>
          <w:rFonts w:hint="eastAsia" w:ascii="仿宋_GB2312" w:eastAsia="仿宋_GB2312"/>
          <w:sz w:val="32"/>
          <w:szCs w:val="32"/>
          <w:highlight w:val="none"/>
          <w:lang w:val="en-US" w:eastAsia="zh-CN"/>
        </w:rPr>
        <w:t>869.83</w:t>
      </w:r>
      <w:r>
        <w:rPr>
          <w:rFonts w:hint="eastAsia" w:ascii="仿宋_GB2312" w:hAnsi="Times New Roman" w:eastAsia="仿宋_GB2312"/>
          <w:sz w:val="32"/>
          <w:szCs w:val="32"/>
          <w:highlight w:val="none"/>
          <w:lang w:eastAsia="zh-CN"/>
        </w:rPr>
        <w:t>万元，</w:t>
      </w:r>
      <w:r>
        <w:rPr>
          <w:rFonts w:hint="eastAsia" w:ascii="仿宋_GB2312" w:eastAsia="仿宋_GB2312"/>
          <w:color w:val="auto"/>
          <w:sz w:val="32"/>
          <w:szCs w:val="32"/>
          <w:u w:val="none"/>
        </w:rPr>
        <w:t>占本</w:t>
      </w:r>
      <w:r>
        <w:rPr>
          <w:rFonts w:hint="eastAsia" w:ascii="仿宋_GB2312" w:eastAsia="仿宋_GB2312"/>
          <w:color w:val="auto"/>
          <w:sz w:val="32"/>
          <w:szCs w:val="32"/>
          <w:u w:val="none"/>
          <w:lang w:eastAsia="zh-CN"/>
        </w:rPr>
        <w:t>单位</w:t>
      </w:r>
      <w:r>
        <w:rPr>
          <w:rFonts w:hint="eastAsia" w:ascii="仿宋_GB2312" w:eastAsia="仿宋_GB2312"/>
          <w:color w:val="auto"/>
          <w:sz w:val="32"/>
          <w:szCs w:val="32"/>
          <w:u w:val="none"/>
        </w:rPr>
        <w:t>本年项目支出预算的</w:t>
      </w:r>
      <w:r>
        <w:rPr>
          <w:rFonts w:hint="eastAsia" w:ascii="仿宋_GB2312" w:hAnsi="Times New Roman" w:eastAsia="仿宋_GB2312"/>
          <w:color w:val="auto"/>
          <w:sz w:val="32"/>
          <w:szCs w:val="32"/>
          <w:highlight w:val="none"/>
          <w:lang w:val="en-US" w:eastAsia="zh-CN"/>
        </w:rPr>
        <w:t>100</w:t>
      </w:r>
      <w:r>
        <w:rPr>
          <w:rFonts w:hint="eastAsia" w:ascii="仿宋_GB2312" w:hAnsi="Times New Roman" w:eastAsia="仿宋_GB2312"/>
          <w:color w:val="auto"/>
          <w:sz w:val="32"/>
          <w:szCs w:val="32"/>
          <w:highlight w:val="none"/>
          <w:lang w:eastAsia="zh-CN"/>
        </w:rPr>
        <w:t>%。</w:t>
      </w:r>
    </w:p>
    <w:p w14:paraId="49F55AB1">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（五）重点行政事业性收费情况说明</w:t>
      </w:r>
    </w:p>
    <w:p w14:paraId="6F8051E1">
      <w:pPr>
        <w:spacing w:line="560" w:lineRule="exact"/>
        <w:ind w:firstLine="640" w:firstLineChars="200"/>
        <w:rPr>
          <w:rFonts w:hint="eastAsia" w:ascii="仿宋_GB2312" w:eastAsia="仿宋_GB2312" w:cs="Droid Sans"/>
          <w:color w:val="auto"/>
          <w:sz w:val="32"/>
          <w:szCs w:val="32"/>
        </w:rPr>
      </w:pPr>
      <w:r>
        <w:rPr>
          <w:rFonts w:hint="eastAsia" w:ascii="仿宋_GB2312" w:eastAsia="仿宋_GB2312" w:cs="Droid Sans"/>
          <w:color w:val="auto"/>
          <w:sz w:val="32"/>
          <w:szCs w:val="32"/>
        </w:rPr>
        <w:t>本单位</w:t>
      </w:r>
      <w:r>
        <w:rPr>
          <w:rFonts w:hint="eastAsia" w:ascii="仿宋_GB2312" w:eastAsia="仿宋_GB2312" w:cs="Droid Sans"/>
          <w:color w:val="auto"/>
          <w:sz w:val="32"/>
          <w:szCs w:val="32"/>
          <w:lang w:eastAsia="zh-CN"/>
        </w:rPr>
        <w:t>2025</w:t>
      </w:r>
      <w:r>
        <w:rPr>
          <w:rFonts w:hint="eastAsia" w:ascii="仿宋_GB2312" w:eastAsia="仿宋_GB2312" w:cs="Droid Sans"/>
          <w:color w:val="auto"/>
          <w:sz w:val="32"/>
          <w:szCs w:val="32"/>
        </w:rPr>
        <w:t>年无重点行政事业性收费。</w:t>
      </w:r>
    </w:p>
    <w:p w14:paraId="77265FA7">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（六）国有资本经营预算财政拨款情况说明</w:t>
      </w:r>
    </w:p>
    <w:p w14:paraId="32231745">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本单位</w:t>
      </w:r>
      <w:r>
        <w:rPr>
          <w:rFonts w:hint="eastAsia" w:ascii="仿宋_GB2312" w:eastAsia="仿宋_GB2312"/>
          <w:color w:val="000000"/>
          <w:sz w:val="32"/>
          <w:szCs w:val="32"/>
          <w:lang w:eastAsia="zh-CN"/>
        </w:rPr>
        <w:t>2025</w:t>
      </w:r>
      <w:r>
        <w:rPr>
          <w:rFonts w:hint="eastAsia" w:ascii="仿宋_GB2312" w:eastAsia="仿宋_GB2312"/>
          <w:color w:val="000000"/>
          <w:sz w:val="32"/>
          <w:szCs w:val="32"/>
        </w:rPr>
        <w:t>年无国有资本经营</w:t>
      </w:r>
      <w:r>
        <w:rPr>
          <w:rFonts w:hint="eastAsia" w:ascii="仿宋_GB2312" w:eastAsia="仿宋_GB2312"/>
          <w:color w:val="000000"/>
          <w:sz w:val="32"/>
          <w:szCs w:val="32"/>
          <w:lang w:eastAsia="zh-CN"/>
        </w:rPr>
        <w:t>预算</w:t>
      </w:r>
      <w:r>
        <w:rPr>
          <w:rFonts w:hint="eastAsia" w:ascii="仿宋_GB2312" w:eastAsia="仿宋_GB2312"/>
          <w:color w:val="000000"/>
          <w:sz w:val="32"/>
          <w:szCs w:val="32"/>
          <w:lang w:val="en-US" w:eastAsia="zh-CN"/>
        </w:rPr>
        <w:t>财政拨款</w:t>
      </w:r>
      <w:r>
        <w:rPr>
          <w:rFonts w:hint="eastAsia" w:ascii="仿宋_GB2312" w:eastAsia="仿宋_GB2312"/>
          <w:color w:val="000000"/>
          <w:sz w:val="32"/>
          <w:szCs w:val="32"/>
        </w:rPr>
        <w:t>安排的预算。</w:t>
      </w:r>
    </w:p>
    <w:p w14:paraId="12A0FCDC">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（七）国有资产占用情况说明</w:t>
      </w:r>
    </w:p>
    <w:p w14:paraId="115E5664">
      <w:pPr>
        <w:spacing w:line="560"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rPr>
        <w:t>截至</w:t>
      </w:r>
      <w:r>
        <w:rPr>
          <w:rFonts w:hint="eastAsia" w:ascii="仿宋_GB2312" w:eastAsia="仿宋_GB2312"/>
          <w:color w:val="auto"/>
          <w:sz w:val="32"/>
          <w:szCs w:val="32"/>
          <w:lang w:eastAsia="zh-CN"/>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eastAsia="zh-CN"/>
        </w:rPr>
        <w:t>年</w:t>
      </w:r>
      <w:r>
        <w:rPr>
          <w:rFonts w:hint="eastAsia" w:ascii="仿宋_GB2312" w:eastAsia="仿宋_GB2312"/>
          <w:color w:val="auto"/>
          <w:sz w:val="32"/>
          <w:szCs w:val="32"/>
        </w:rPr>
        <w:t>底，</w:t>
      </w:r>
      <w:r>
        <w:rPr>
          <w:rFonts w:hint="eastAsia" w:ascii="仿宋_GB2312" w:eastAsia="仿宋_GB2312"/>
          <w:color w:val="auto"/>
          <w:sz w:val="32"/>
          <w:szCs w:val="32"/>
          <w:lang w:eastAsia="zh-CN"/>
        </w:rPr>
        <w:t>北京市地热调查研究所</w:t>
      </w:r>
      <w:r>
        <w:rPr>
          <w:rFonts w:hint="eastAsia" w:ascii="仿宋_GB2312" w:eastAsia="仿宋_GB2312"/>
          <w:color w:val="auto"/>
          <w:sz w:val="32"/>
          <w:szCs w:val="32"/>
        </w:rPr>
        <w:t>共有车辆</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台，共计</w:t>
      </w:r>
      <w:r>
        <w:rPr>
          <w:rFonts w:hint="eastAsia" w:ascii="仿宋_GB2312" w:eastAsia="仿宋_GB2312"/>
          <w:color w:val="auto"/>
          <w:sz w:val="32"/>
          <w:szCs w:val="32"/>
          <w:lang w:val="en-US" w:eastAsia="zh-CN"/>
        </w:rPr>
        <w:t>31.64</w:t>
      </w:r>
      <w:r>
        <w:rPr>
          <w:rFonts w:hint="eastAsia" w:ascii="仿宋_GB2312" w:eastAsia="仿宋_GB2312"/>
          <w:color w:val="auto"/>
          <w:sz w:val="32"/>
          <w:szCs w:val="32"/>
        </w:rPr>
        <w:t>万元；单位价值50万元以上的设备</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台（套），共计</w:t>
      </w:r>
      <w:r>
        <w:rPr>
          <w:rFonts w:hint="eastAsia" w:ascii="仿宋_GB2312" w:eastAsia="仿宋_GB2312"/>
          <w:color w:val="auto"/>
          <w:sz w:val="32"/>
          <w:szCs w:val="32"/>
          <w:lang w:val="en-US" w:eastAsia="zh-CN"/>
        </w:rPr>
        <w:t>302.19</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2025年预算安排中，购置单位价值50万元以上的设备0台（套），共计0万元。</w:t>
      </w:r>
    </w:p>
    <w:p w14:paraId="668F665F">
      <w:pPr>
        <w:numPr>
          <w:ilvl w:val="0"/>
          <w:numId w:val="1"/>
        </w:num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名词解释</w:t>
      </w:r>
    </w:p>
    <w:p w14:paraId="1127A15E">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基本支出：指为保障机构正常运转、完成日常工作任务而发生的人员支出和公用支出。</w:t>
      </w:r>
    </w:p>
    <w:p w14:paraId="4F53D7F4">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项目支出：指在基本支出之外为完成特定行政任务或事业发展目标所发生的支出。</w:t>
      </w:r>
    </w:p>
    <w:p w14:paraId="1F3CC808">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“三公”经费财政拨款预算数：指本单位当年单位预算安排的因公出国（境）费用、公务接待费、公务用车购置和运行维护费预算数。</w:t>
      </w:r>
    </w:p>
    <w:p w14:paraId="6F64973F">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2D6F3C">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11BEDE15">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78EE8B0D">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自然资源调查与确权登记：反映自然资源部门用于自然资源调查监测评价，自然资源统一确权登记等方面的支出。</w:t>
      </w:r>
    </w:p>
    <w:p w14:paraId="17E767E6">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教育支出：反映政府教育事务支出。</w:t>
      </w:r>
    </w:p>
    <w:p w14:paraId="62DC4480">
      <w:pPr>
        <w:bidi w:val="0"/>
        <w:rPr>
          <w:rFonts w:hint="eastAsia"/>
          <w:sz w:val="36"/>
          <w:szCs w:val="36"/>
        </w:rPr>
      </w:pPr>
    </w:p>
    <w:p w14:paraId="17D44CFB">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 xml:space="preserve">第二部分  </w:t>
      </w:r>
      <w:r>
        <w:rPr>
          <w:rFonts w:hint="eastAsia" w:ascii="方正小标宋简体" w:eastAsia="方正小标宋简体"/>
          <w:color w:val="000000"/>
          <w:sz w:val="36"/>
          <w:szCs w:val="36"/>
          <w:lang w:eastAsia="zh-CN"/>
        </w:rPr>
        <w:t>2025年度</w:t>
      </w:r>
      <w:r>
        <w:rPr>
          <w:rFonts w:hint="eastAsia" w:ascii="方正小标宋简体" w:eastAsia="方正小标宋简体"/>
          <w:color w:val="000000"/>
          <w:sz w:val="36"/>
          <w:szCs w:val="36"/>
        </w:rPr>
        <w:t>单位预算报表</w:t>
      </w:r>
    </w:p>
    <w:p w14:paraId="7631EB77">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附件：</w:t>
      </w:r>
      <w:r>
        <w:rPr>
          <w:rFonts w:hint="eastAsia" w:ascii="仿宋_GB2312" w:eastAsia="仿宋_GB2312"/>
          <w:color w:val="000000"/>
          <w:sz w:val="32"/>
          <w:szCs w:val="32"/>
          <w:lang w:eastAsia="zh-CN"/>
        </w:rPr>
        <w:t>北京市地热调查研究所2025年</w:t>
      </w:r>
      <w:r>
        <w:rPr>
          <w:rFonts w:hint="eastAsia" w:ascii="仿宋_GB2312" w:eastAsia="仿宋_GB2312"/>
          <w:color w:val="000000"/>
          <w:sz w:val="32"/>
          <w:szCs w:val="32"/>
        </w:rPr>
        <w:t>度单位预算报表</w:t>
      </w:r>
      <w:r>
        <w:rPr>
          <w:rFonts w:hint="eastAsia" w:ascii="仿宋_GB2312" w:eastAsia="仿宋_GB2312" w:cs="宋体"/>
          <w:color w:val="000000"/>
          <w:kern w:val="0"/>
          <w:sz w:val="32"/>
          <w:szCs w:val="32"/>
          <w:lang w:val="zh-CN"/>
        </w:rPr>
        <w:t xml:space="preserve"> </w:t>
      </w:r>
    </w:p>
    <w:p w14:paraId="575A5D30">
      <w:pPr>
        <w:spacing w:line="560" w:lineRule="exact"/>
        <w:rPr>
          <w:rFonts w:hint="eastAsia" w:ascii="仿宋_GB2312" w:eastAsia="仿宋_GB2312"/>
          <w:color w:val="000000"/>
          <w:sz w:val="32"/>
          <w:szCs w:val="32"/>
        </w:rPr>
      </w:pPr>
    </w:p>
    <w:p w14:paraId="73485861">
      <w:pPr>
        <w:rPr>
          <w:rFonts w:hint="eastAsia" w:ascii="仿宋_GB2312" w:eastAsia="仿宋_GB2312"/>
          <w:sz w:val="32"/>
          <w:szCs w:val="32"/>
        </w:rPr>
      </w:pPr>
    </w:p>
    <w:p w14:paraId="32268657"/>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黑体-GB2312">
    <w:altName w:val="黑体"/>
    <w:panose1 w:val="02000500000000000000"/>
    <w:charset w:val="86"/>
    <w:family w:val="auto"/>
    <w:pitch w:val="default"/>
    <w:sig w:usb0="00000000" w:usb1="00000000"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B4B82">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F14132">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BF14132">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14:paraId="50092DF9">
    <w:pPr>
      <w:pStyle w:val="4"/>
      <w:ind w:right="360"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538CDC"/>
    <w:multiLevelType w:val="singleLevel"/>
    <w:tmpl w:val="24538CD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kZDU0ZjhkYjA4NTNmMTI1ZmE4NGU2M2RlZjllNTAifQ=="/>
  </w:docVars>
  <w:rsids>
    <w:rsidRoot w:val="13BB320E"/>
    <w:rsid w:val="01286976"/>
    <w:rsid w:val="017F51C0"/>
    <w:rsid w:val="01925F3E"/>
    <w:rsid w:val="022E4712"/>
    <w:rsid w:val="025F3DB8"/>
    <w:rsid w:val="026659F0"/>
    <w:rsid w:val="040201D3"/>
    <w:rsid w:val="07623CA2"/>
    <w:rsid w:val="07A94FE5"/>
    <w:rsid w:val="08884550"/>
    <w:rsid w:val="09B07E53"/>
    <w:rsid w:val="0AED6EE1"/>
    <w:rsid w:val="0B9B25BE"/>
    <w:rsid w:val="0C9E7975"/>
    <w:rsid w:val="108B44D6"/>
    <w:rsid w:val="11836890"/>
    <w:rsid w:val="126B3EEF"/>
    <w:rsid w:val="13B13B7F"/>
    <w:rsid w:val="13BB320E"/>
    <w:rsid w:val="13EC5F71"/>
    <w:rsid w:val="1488528C"/>
    <w:rsid w:val="15E05662"/>
    <w:rsid w:val="16135A37"/>
    <w:rsid w:val="162C09E9"/>
    <w:rsid w:val="163B190C"/>
    <w:rsid w:val="16825592"/>
    <w:rsid w:val="16CD5BE6"/>
    <w:rsid w:val="1810023C"/>
    <w:rsid w:val="186F2E91"/>
    <w:rsid w:val="18814417"/>
    <w:rsid w:val="188F715A"/>
    <w:rsid w:val="195E3BD8"/>
    <w:rsid w:val="1A402CED"/>
    <w:rsid w:val="1CDC1657"/>
    <w:rsid w:val="21E800D1"/>
    <w:rsid w:val="22804455"/>
    <w:rsid w:val="229259FC"/>
    <w:rsid w:val="22C72083"/>
    <w:rsid w:val="23DA1943"/>
    <w:rsid w:val="24A310E7"/>
    <w:rsid w:val="25A1012D"/>
    <w:rsid w:val="26E3190F"/>
    <w:rsid w:val="279664C8"/>
    <w:rsid w:val="27C06A88"/>
    <w:rsid w:val="27D33279"/>
    <w:rsid w:val="27EB5235"/>
    <w:rsid w:val="282859CD"/>
    <w:rsid w:val="287D5E53"/>
    <w:rsid w:val="28C67264"/>
    <w:rsid w:val="28E83EA9"/>
    <w:rsid w:val="2A083415"/>
    <w:rsid w:val="2B196DC7"/>
    <w:rsid w:val="2B465B0F"/>
    <w:rsid w:val="2BC730F4"/>
    <w:rsid w:val="2C874245"/>
    <w:rsid w:val="2D6F3D34"/>
    <w:rsid w:val="2DC0604D"/>
    <w:rsid w:val="2FAB2268"/>
    <w:rsid w:val="32B54851"/>
    <w:rsid w:val="35255245"/>
    <w:rsid w:val="35702107"/>
    <w:rsid w:val="399F2FBB"/>
    <w:rsid w:val="3A267238"/>
    <w:rsid w:val="3A2D5769"/>
    <w:rsid w:val="3B17449E"/>
    <w:rsid w:val="3B7921C4"/>
    <w:rsid w:val="3BF055E2"/>
    <w:rsid w:val="3C2D62BB"/>
    <w:rsid w:val="3D677509"/>
    <w:rsid w:val="3F380C7B"/>
    <w:rsid w:val="401A6FE7"/>
    <w:rsid w:val="40CF66B5"/>
    <w:rsid w:val="40F10FEB"/>
    <w:rsid w:val="41A87AE6"/>
    <w:rsid w:val="42335EA5"/>
    <w:rsid w:val="436F278E"/>
    <w:rsid w:val="448A3FE4"/>
    <w:rsid w:val="44A3733E"/>
    <w:rsid w:val="44E95A32"/>
    <w:rsid w:val="45A81449"/>
    <w:rsid w:val="468772B0"/>
    <w:rsid w:val="48013092"/>
    <w:rsid w:val="4A9B1A76"/>
    <w:rsid w:val="4B8631BE"/>
    <w:rsid w:val="4BD5286C"/>
    <w:rsid w:val="4DF52DCE"/>
    <w:rsid w:val="4E3B72FE"/>
    <w:rsid w:val="4E922C96"/>
    <w:rsid w:val="4FFC6641"/>
    <w:rsid w:val="500969B2"/>
    <w:rsid w:val="507A4D44"/>
    <w:rsid w:val="51E23F34"/>
    <w:rsid w:val="53321906"/>
    <w:rsid w:val="54666178"/>
    <w:rsid w:val="54AC4C84"/>
    <w:rsid w:val="54B32711"/>
    <w:rsid w:val="55300810"/>
    <w:rsid w:val="56544185"/>
    <w:rsid w:val="56957978"/>
    <w:rsid w:val="573963A5"/>
    <w:rsid w:val="5866141B"/>
    <w:rsid w:val="58C6010C"/>
    <w:rsid w:val="59613991"/>
    <w:rsid w:val="598A4F96"/>
    <w:rsid w:val="59C74218"/>
    <w:rsid w:val="5C13314F"/>
    <w:rsid w:val="5CB12E81"/>
    <w:rsid w:val="5D11258C"/>
    <w:rsid w:val="5D235EBC"/>
    <w:rsid w:val="5D771AFE"/>
    <w:rsid w:val="5D924515"/>
    <w:rsid w:val="603C6569"/>
    <w:rsid w:val="64326656"/>
    <w:rsid w:val="6472615A"/>
    <w:rsid w:val="651D10B4"/>
    <w:rsid w:val="69C628BF"/>
    <w:rsid w:val="6B3420FD"/>
    <w:rsid w:val="6B5D66AE"/>
    <w:rsid w:val="6BC568DE"/>
    <w:rsid w:val="6D2902B8"/>
    <w:rsid w:val="6D677739"/>
    <w:rsid w:val="6DB477EA"/>
    <w:rsid w:val="6EC32CCC"/>
    <w:rsid w:val="6EC425A0"/>
    <w:rsid w:val="6FC767EC"/>
    <w:rsid w:val="70CC7896"/>
    <w:rsid w:val="71607EA7"/>
    <w:rsid w:val="71DC024B"/>
    <w:rsid w:val="720C51A9"/>
    <w:rsid w:val="72347A3D"/>
    <w:rsid w:val="72533DC1"/>
    <w:rsid w:val="72987FCC"/>
    <w:rsid w:val="736C5AB3"/>
    <w:rsid w:val="76287001"/>
    <w:rsid w:val="76500BBD"/>
    <w:rsid w:val="767174B1"/>
    <w:rsid w:val="768C4BDD"/>
    <w:rsid w:val="776251EC"/>
    <w:rsid w:val="78364649"/>
    <w:rsid w:val="785C5FC1"/>
    <w:rsid w:val="78D930EC"/>
    <w:rsid w:val="793E7479"/>
    <w:rsid w:val="79B77010"/>
    <w:rsid w:val="79FD28AD"/>
    <w:rsid w:val="7AC00390"/>
    <w:rsid w:val="7ACF29F8"/>
    <w:rsid w:val="7B0F1766"/>
    <w:rsid w:val="7B113011"/>
    <w:rsid w:val="7B61402E"/>
    <w:rsid w:val="7BE14791"/>
    <w:rsid w:val="7BFB100C"/>
    <w:rsid w:val="7C09018C"/>
    <w:rsid w:val="7C5036C5"/>
    <w:rsid w:val="7CB8365D"/>
    <w:rsid w:val="7D490F22"/>
    <w:rsid w:val="7D6D72DF"/>
    <w:rsid w:val="7E7D532C"/>
    <w:rsid w:val="7EE3252A"/>
    <w:rsid w:val="7FEF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Date"/>
    <w:basedOn w:val="1"/>
    <w:next w:val="1"/>
    <w:autoRedefine/>
    <w:qFormat/>
    <w:uiPriority w:val="0"/>
    <w:rPr>
      <w:rFonts w:eastAsia="楷体_GB2312" w:cs="Droid Sans"/>
      <w:sz w:val="32"/>
      <w:szCs w:val="20"/>
      <w:lang w:bidi="ar-SA"/>
    </w:rPr>
  </w:style>
  <w:style w:type="paragraph" w:styleId="4">
    <w:name w:val="footer"/>
    <w:basedOn w:val="1"/>
    <w:autoRedefine/>
    <w:qFormat/>
    <w:uiPriority w:val="99"/>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38498;&#23545;&#36134;&#21333;\&#33609;&#26696;&#21450;&#20844;&#24320;\&#20844;&#24320;\2025&#24180;&#39044;&#31639;&#20844;&#24320;\&#39044;&#31639;&#20844;&#24320;&#22270;&#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8498;&#23545;&#36134;&#21333;\&#33609;&#26696;&#21450;&#20844;&#24320;\&#20844;&#24320;\2025&#24180;&#39044;&#31639;&#20844;&#24320;\&#39044;&#31639;&#20844;&#24320;&#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收入预算</a:t>
            </a:r>
          </a:p>
        </c:rich>
      </c:tx>
      <c:layout/>
      <c:overlay val="0"/>
      <c:spPr>
        <a:noFill/>
        <a:ln>
          <a:noFill/>
        </a:ln>
        <a:effectLst/>
      </c:spPr>
    </c:title>
    <c:autoTitleDeleted val="0"/>
    <c:plotArea>
      <c:layout/>
      <c:pieChart>
        <c:varyColors val="1"/>
        <c:ser>
          <c:idx val="1"/>
          <c:order val="1"/>
          <c:tx>
            <c:strRef>
              <c:f>[预算公开图表.xlsx]图!$F$9</c:f>
              <c:strCache>
                <c:ptCount val="1"/>
                <c:pt idx="0">
                  <c:v>比例</c:v>
                </c:pt>
              </c:strCache>
            </c:strRef>
          </c:tx>
          <c:spPr/>
          <c:explosion val="0"/>
          <c:dPt>
            <c:idx val="0"/>
            <c:bubble3D val="0"/>
            <c:spPr>
              <a:solidFill>
                <a:schemeClr val="accent5">
                  <a:lumMod val="75000"/>
                </a:schemeClr>
              </a:solidFill>
              <a:ln>
                <a:solidFill>
                  <a:schemeClr val="bg1"/>
                </a:solidFill>
              </a:ln>
              <a:effectLst/>
            </c:spPr>
          </c:dPt>
          <c:dPt>
            <c:idx val="1"/>
            <c:bubble3D val="0"/>
            <c:spPr>
              <a:solidFill>
                <a:srgbClr val="C00000"/>
              </a:solidFill>
              <a:ln>
                <a:solidFill>
                  <a:schemeClr val="bg1"/>
                </a:solidFill>
              </a:ln>
              <a:effectLst/>
            </c:spPr>
          </c:dPt>
          <c:dPt>
            <c:idx val="2"/>
            <c:bubble3D val="0"/>
            <c:spPr>
              <a:solidFill>
                <a:schemeClr val="accent3"/>
              </a:solidFill>
              <a:ln>
                <a:solidFill>
                  <a:schemeClr val="bg1"/>
                </a:solidFill>
              </a:ln>
              <a:effectLst/>
            </c:spPr>
          </c:dPt>
          <c:dPt>
            <c:idx val="3"/>
            <c:bubble3D val="0"/>
            <c:spPr>
              <a:gradFill>
                <a:gsLst>
                  <a:gs pos="0">
                    <a:srgbClr val="7B32B2"/>
                  </a:gs>
                  <a:gs pos="100000">
                    <a:srgbClr val="401A5D"/>
                  </a:gs>
                </a:gsLst>
                <a:lin ang="5400000" scaled="0"/>
              </a:gradFill>
              <a:ln>
                <a:solidFill>
                  <a:schemeClr val="bg1"/>
                </a:solidFill>
              </a:ln>
              <a:effectLst/>
            </c:spPr>
          </c:dPt>
          <c:dLbls>
            <c:dLbl>
              <c:idx val="0"/>
              <c:layout>
                <c:manualLayout>
                  <c:x val="-0.109856517615177"/>
                  <c:y val="-0.19514080758386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00760741420776"/>
                  <c:y val="0.10654498079159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93353749702951"/>
                  <c:y val="-0.008551524822346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999945480514343"/>
                  <c:y val="-0.025883960984203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[预算公开图表.xlsx]图!$D$10:$D$13</c:f>
              <c:strCache>
                <c:ptCount val="4"/>
                <c:pt idx="0">
                  <c:v>一般公共预算拨款收入</c:v>
                </c:pt>
                <c:pt idx="1">
                  <c:v>事业收入</c:v>
                </c:pt>
                <c:pt idx="2">
                  <c:v>其他收入</c:v>
                </c:pt>
                <c:pt idx="3">
                  <c:v>上年结转结余</c:v>
                </c:pt>
              </c:strCache>
            </c:strRef>
          </c:cat>
          <c:val>
            <c:numRef>
              <c:f>[预算公开图表.xlsx]图!$F$10:$F$13</c:f>
              <c:numCache>
                <c:formatCode>0.00%</c:formatCode>
                <c:ptCount val="4"/>
                <c:pt idx="0">
                  <c:v>0.702716441172965</c:v>
                </c:pt>
                <c:pt idx="1">
                  <c:v>0.270352299563466</c:v>
                </c:pt>
                <c:pt idx="2">
                  <c:v>0.00316838344277283</c:v>
                </c:pt>
                <c:pt idx="3">
                  <c:v>0.0237628758207962</c:v>
                </c:pt>
              </c:numCache>
            </c:numRef>
          </c:val>
        </c:ser>
        <c:dLbls>
          <c:showLegendKey val="0"/>
          <c:showVal val="1"/>
          <c:showCatName val="0"/>
          <c:showSerName val="0"/>
          <c:showPercent val="0"/>
          <c:showBubbleSize val="0"/>
          <c:showLeaderLines val="1"/>
        </c:dLbls>
        <c:firstSliceAng val="0"/>
        <c:extLst>
          <c:ext xmlns:c15="http://schemas.microsoft.com/office/drawing/2012/chart" uri="{02D57815-91ED-43cb-92C2-25804820EDAC}">
            <c15:filteredPieSeries>
              <c15:ser>
                <c:idx val="0"/>
                <c:order val="0"/>
                <c:tx>
                  <c:strRef>
                    <c:extLst>
                      <c:ext uri="{02D57815-91ED-43cb-92C2-25804820EDAC}">
                        <c15:formulaRef>
                          <c15:sqref>[预算公开图表.xlsx]图!$E$9</c15:sqref>
                        </c15:formulaRef>
                      </c:ext>
                    </c:extLst>
                    <c:strCache>
                      <c:ptCount val="1"/>
                      <c:pt idx="0">
                        <c:v>金额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[预算公开图表.xlsx]图!$D$10:$D$13</c15:sqref>
                        </c15:formulaRef>
                      </c:ext>
                    </c:extLst>
                    <c:strCache>
                      <c:ptCount val="4"/>
                      <c:pt idx="0">
                        <c:v>一般公共预算拨款收入</c:v>
                      </c:pt>
                      <c:pt idx="1">
                        <c:v>事业收入</c:v>
                      </c:pt>
                      <c:pt idx="2">
                        <c:v>其他收入</c:v>
                      </c:pt>
                      <c:pt idx="3">
                        <c:v>上年结转结余</c:v>
                      </c:pt>
                    </c:strCache>
                  </c:strRef>
                </c:cat>
                <c:val>
                  <c:numRef>
                    <c:extLst>
                      <c:ext uri="{02D57815-91ED-43cb-92C2-25804820EDAC}">
                        <c15:formulaRef>
                          <c15:sqref>{4435.804276,1706.563012,20,150}</c15:sqref>
                        </c15:formulaRef>
                      </c:ext>
                    </c:extLst>
                    <c:numCache>
                      <c:formatCode>#,##0.00</c:formatCode>
                      <c:ptCount val="4"/>
                      <c:pt idx="0">
                        <c:v>4435.804276</c:v>
                      </c:pt>
                      <c:pt idx="1">
                        <c:v>1706.563012</c:v>
                      </c:pt>
                      <c:pt idx="2" c:formatCode="General">
                        <c:v>20</c:v>
                      </c:pt>
                      <c:pt idx="3" c:formatCode="General">
                        <c:v>150</c:v>
                      </c:pt>
                    </c:numCache>
                  </c:numRef>
                </c:val>
              </c15:ser>
            </c15:filteredPieSeries>
          </c:ext>
        </c:extLst>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502fb4f-815d-4a2c-b4d5-2599f001e24c}"/>
      </c:ext>
    </c:extLst>
  </c:chart>
  <c:spPr>
    <a:solidFill>
      <a:srgbClr val="FFFFFF"/>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[预算公开图表.xlsx]Sheet1!$D$44</c:f>
              <c:strCache>
                <c:ptCount val="1"/>
                <c:pt idx="0">
                  <c:v>比例</c:v>
                </c:pt>
              </c:strCache>
            </c:strRef>
          </c:tx>
          <c:spPr/>
          <c:explosion val="0"/>
          <c:dPt>
            <c:idx val="0"/>
            <c:bubble3D val="0"/>
            <c:spPr>
              <a:solidFill>
                <a:schemeClr val="accent5">
                  <a:lumMod val="75000"/>
                </a:schemeClr>
              </a:solidFill>
              <a:ln>
                <a:solidFill>
                  <a:schemeClr val="bg1"/>
                </a:solidFill>
              </a:ln>
              <a:effectLst/>
            </c:spPr>
          </c:dPt>
          <c:dPt>
            <c:idx val="1"/>
            <c:bubble3D val="0"/>
            <c:spPr>
              <a:solidFill>
                <a:srgbClr val="C00000"/>
              </a:solidFill>
              <a:ln>
                <a:solidFill>
                  <a:schemeClr val="bg1"/>
                </a:solidFill>
              </a:ln>
              <a:effectLst/>
            </c:spPr>
          </c:dPt>
          <c:dLbls>
            <c:dLbl>
              <c:idx val="0"/>
              <c:layout>
                <c:manualLayout>
                  <c:x val="-0.0609602254484946"/>
                  <c:y val="-0.26152574946650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[预算公开图表.xlsx]Sheet1!$C$45:$C$46</c:f>
              <c:strCache>
                <c:ptCount val="2"/>
                <c:pt idx="0">
                  <c:v>基本支出</c:v>
                </c:pt>
                <c:pt idx="1">
                  <c:v>项目支出</c:v>
                </c:pt>
              </c:strCache>
            </c:strRef>
          </c:cat>
          <c:val>
            <c:numRef>
              <c:f>[预算公开图表.xlsx]Sheet1!$D$45:$D$46</c:f>
              <c:numCache>
                <c:formatCode>0.00%</c:formatCode>
                <c:ptCount val="2"/>
                <c:pt idx="0">
                  <c:v>0.86220232722301</c:v>
                </c:pt>
                <c:pt idx="1">
                  <c:v>0.13779767277699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373578400457336"/>
          <c:y val="0.9129496402877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f1e8caa-7883-4859-8765-c0f04975f47c}"/>
      </c:ext>
    </c:extLst>
  </c:chart>
  <c:spPr>
    <a:solidFill>
      <a:srgbClr val="FFFFFF"/>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2197</Words>
  <Characters>2448</Characters>
  <Lines>0</Lines>
  <Paragraphs>0</Paragraphs>
  <TotalTime>1</TotalTime>
  <ScaleCrop>false</ScaleCrop>
  <LinksUpToDate>false</LinksUpToDate>
  <CharactersWithSpaces>2479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2023-02-16T09:29:00Z</dcterms:created>
  <dc:creator>188****7023</dc:creator>
  <cp:lastModifiedBy>柯研</cp:lastModifiedBy>
  <cp:lastPrinted>2024-02-27T01:30:00Z</cp:lastPrinted>
  <dcterms:modified xsi:type="dcterms:W3CDTF">2025-02-11T06:04:34Z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40D33D2C597C4CAD989095FD5B27D8C0_13</vt:lpwstr>
  </property>
  <property fmtid="{D5CDD505-2E9C-101B-9397-08002B2CF9AE}" pid="4" name="KSOTemplateDocerSaveRecord">
    <vt:lpwstr>eyJoZGlkIjoiNDhkZDU0ZjhkYjA4NTNmMTI1ZmE4NGU2M2RlZjllNTAifQ==</vt:lpwstr>
  </property>
</Properties>
</file>