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475" w:rsidRDefault="006D2475">
      <w:pPr>
        <w:jc w:val="center"/>
        <w:rPr>
          <w:rFonts w:ascii="仿宋_GB2312" w:eastAsia="仿宋_GB2312"/>
          <w:b/>
          <w:sz w:val="32"/>
          <w:szCs w:val="32"/>
        </w:rPr>
      </w:pPr>
    </w:p>
    <w:p w:rsidR="006D2475" w:rsidRDefault="006D2475">
      <w:pPr>
        <w:jc w:val="center"/>
        <w:rPr>
          <w:rFonts w:ascii="黑体" w:eastAsia="黑体"/>
          <w:sz w:val="72"/>
          <w:szCs w:val="72"/>
        </w:rPr>
      </w:pPr>
    </w:p>
    <w:p w:rsidR="006D2475" w:rsidRDefault="006D2475">
      <w:pPr>
        <w:jc w:val="center"/>
        <w:rPr>
          <w:rFonts w:ascii="黑体" w:eastAsia="黑体"/>
          <w:sz w:val="72"/>
          <w:szCs w:val="72"/>
        </w:rPr>
      </w:pPr>
    </w:p>
    <w:p w:rsidR="006D2475" w:rsidRDefault="006D2475">
      <w:pPr>
        <w:jc w:val="center"/>
        <w:rPr>
          <w:rFonts w:ascii="黑体" w:eastAsia="黑体"/>
          <w:sz w:val="72"/>
          <w:szCs w:val="72"/>
        </w:rPr>
      </w:pPr>
    </w:p>
    <w:p w:rsidR="006D2475" w:rsidRDefault="00FE4014">
      <w:pPr>
        <w:jc w:val="center"/>
        <w:rPr>
          <w:rFonts w:ascii="黑体" w:eastAsia="黑体"/>
          <w:sz w:val="72"/>
          <w:szCs w:val="72"/>
        </w:rPr>
      </w:pPr>
      <w:r>
        <w:rPr>
          <w:rFonts w:ascii="黑体" w:eastAsia="黑体" w:hint="eastAsia"/>
          <w:sz w:val="72"/>
          <w:szCs w:val="72"/>
        </w:rPr>
        <w:t>北京市地质调查研究所</w:t>
      </w:r>
    </w:p>
    <w:p w:rsidR="006D2475" w:rsidRDefault="00FE4014">
      <w:pPr>
        <w:jc w:val="center"/>
        <w:rPr>
          <w:rFonts w:ascii="黑体" w:eastAsia="黑体"/>
          <w:sz w:val="72"/>
          <w:szCs w:val="72"/>
        </w:rPr>
      </w:pPr>
      <w:r>
        <w:rPr>
          <w:rFonts w:ascii="黑体" w:eastAsia="黑体" w:hint="eastAsia"/>
          <w:sz w:val="72"/>
          <w:szCs w:val="72"/>
        </w:rPr>
        <w:t>2024年度单位决算</w:t>
      </w:r>
    </w:p>
    <w:p w:rsidR="006D2475" w:rsidRDefault="006D2475">
      <w:pPr>
        <w:jc w:val="center"/>
        <w:rPr>
          <w:rFonts w:ascii="黑体" w:eastAsia="黑体"/>
          <w:sz w:val="52"/>
          <w:szCs w:val="52"/>
        </w:rPr>
      </w:pPr>
    </w:p>
    <w:p w:rsidR="006D2475" w:rsidRDefault="006D2475">
      <w:pPr>
        <w:jc w:val="center"/>
        <w:rPr>
          <w:rFonts w:ascii="黑体" w:eastAsia="黑体"/>
          <w:sz w:val="52"/>
          <w:szCs w:val="52"/>
        </w:rPr>
      </w:pPr>
    </w:p>
    <w:p w:rsidR="006D2475" w:rsidRDefault="006D2475">
      <w:pPr>
        <w:jc w:val="center"/>
        <w:rPr>
          <w:rFonts w:ascii="黑体" w:eastAsia="黑体"/>
          <w:sz w:val="52"/>
          <w:szCs w:val="52"/>
        </w:rPr>
      </w:pPr>
    </w:p>
    <w:p w:rsidR="006D2475" w:rsidRDefault="006D2475">
      <w:pPr>
        <w:jc w:val="center"/>
        <w:rPr>
          <w:rFonts w:ascii="黑体" w:eastAsia="黑体"/>
          <w:sz w:val="52"/>
          <w:szCs w:val="52"/>
        </w:rPr>
      </w:pPr>
    </w:p>
    <w:p w:rsidR="006D2475" w:rsidRDefault="006D2475">
      <w:pPr>
        <w:jc w:val="center"/>
        <w:rPr>
          <w:rFonts w:ascii="黑体" w:eastAsia="黑体"/>
          <w:sz w:val="32"/>
          <w:szCs w:val="32"/>
        </w:rPr>
      </w:pPr>
    </w:p>
    <w:p w:rsidR="006D2475" w:rsidRDefault="00FE4014">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6D2475" w:rsidRDefault="006D2475">
      <w:pPr>
        <w:spacing w:line="500" w:lineRule="exact"/>
        <w:ind w:firstLine="645"/>
        <w:jc w:val="center"/>
        <w:rPr>
          <w:rFonts w:ascii="宋体" w:hAnsi="宋体" w:cs="宋体"/>
          <w:b/>
          <w:bCs/>
          <w:kern w:val="0"/>
          <w:sz w:val="36"/>
          <w:szCs w:val="36"/>
        </w:rPr>
      </w:pPr>
    </w:p>
    <w:p w:rsidR="006D2475" w:rsidRDefault="00FE4014">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6D2475" w:rsidRDefault="00FE4014">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6D2475" w:rsidRDefault="00FE401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6D2475" w:rsidRDefault="00FE4014">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6D2475" w:rsidRDefault="00FE4014">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6D2475" w:rsidRDefault="00FE4014">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6D2475" w:rsidRDefault="006D2475">
      <w:pPr>
        <w:tabs>
          <w:tab w:val="center" w:pos="6979"/>
        </w:tabs>
        <w:spacing w:beforeLines="50" w:before="156" w:afterLines="50" w:after="156"/>
        <w:jc w:val="center"/>
        <w:rPr>
          <w:rFonts w:ascii="宋体" w:hAnsi="宋体" w:cs="宋体"/>
          <w:b/>
          <w:bCs/>
          <w:spacing w:val="40"/>
          <w:kern w:val="0"/>
          <w:sz w:val="32"/>
          <w:szCs w:val="32"/>
        </w:rPr>
      </w:pPr>
    </w:p>
    <w:p w:rsidR="006D2475" w:rsidRDefault="006D2475">
      <w:pPr>
        <w:tabs>
          <w:tab w:val="center" w:pos="6979"/>
        </w:tabs>
        <w:spacing w:beforeLines="50" w:before="156" w:afterLines="50" w:after="156"/>
        <w:jc w:val="center"/>
        <w:rPr>
          <w:rFonts w:ascii="宋体" w:hAnsi="宋体" w:cs="宋体"/>
          <w:b/>
          <w:bCs/>
          <w:spacing w:val="40"/>
          <w:kern w:val="0"/>
          <w:sz w:val="32"/>
          <w:szCs w:val="32"/>
        </w:rPr>
      </w:pPr>
    </w:p>
    <w:p w:rsidR="006D2475" w:rsidRDefault="006D2475">
      <w:pPr>
        <w:tabs>
          <w:tab w:val="center" w:pos="6979"/>
        </w:tabs>
        <w:spacing w:beforeLines="50" w:before="156" w:afterLines="50" w:after="156"/>
        <w:jc w:val="center"/>
        <w:rPr>
          <w:rFonts w:ascii="宋体" w:hAnsi="宋体" w:cs="宋体"/>
          <w:b/>
          <w:bCs/>
          <w:spacing w:val="40"/>
          <w:kern w:val="0"/>
          <w:sz w:val="32"/>
          <w:szCs w:val="32"/>
        </w:rPr>
      </w:pPr>
    </w:p>
    <w:p w:rsidR="006D2475" w:rsidRDefault="006D2475">
      <w:pPr>
        <w:tabs>
          <w:tab w:val="center" w:pos="6979"/>
        </w:tabs>
        <w:spacing w:beforeLines="50" w:before="156" w:afterLines="50" w:after="156"/>
        <w:jc w:val="center"/>
        <w:rPr>
          <w:rFonts w:ascii="宋体" w:hAnsi="宋体" w:cs="宋体"/>
          <w:b/>
          <w:bCs/>
          <w:spacing w:val="40"/>
          <w:kern w:val="0"/>
          <w:sz w:val="32"/>
          <w:szCs w:val="32"/>
        </w:rPr>
      </w:pPr>
    </w:p>
    <w:p w:rsidR="006D2475" w:rsidRDefault="006D2475">
      <w:pPr>
        <w:tabs>
          <w:tab w:val="center" w:pos="6979"/>
        </w:tabs>
        <w:spacing w:beforeLines="50" w:before="156" w:afterLines="50" w:after="156"/>
        <w:jc w:val="center"/>
        <w:rPr>
          <w:rFonts w:ascii="宋体" w:hAnsi="宋体" w:cs="宋体"/>
          <w:b/>
          <w:bCs/>
          <w:spacing w:val="40"/>
          <w:kern w:val="0"/>
          <w:sz w:val="32"/>
          <w:szCs w:val="32"/>
        </w:rPr>
      </w:pPr>
    </w:p>
    <w:p w:rsidR="006D2475" w:rsidRDefault="00FE4014">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6D2475" w:rsidRDefault="00FE4014">
      <w:pPr>
        <w:pStyle w:val="2"/>
        <w:rPr>
          <w:b w:val="0"/>
          <w:bCs w:val="0"/>
        </w:rPr>
        <w:sectPr w:rsidR="006D2475">
          <w:footerReference w:type="default" r:id="rId8"/>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6D2475" w:rsidRDefault="00FE4014">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6D2475" w:rsidRDefault="00FE4014">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（一）本单位性质、职责等情况</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根据《中共北京市委机构编制委员会关于市规划自然资源系统所属事业单位改革有关事项的批复》（京编委〔2021〕123号）文件，北京市地质调查研究所是北京市地质矿产勘查院所属的公益一类事业单位。主要职责：</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1.承担本市国土空间地质调查、评价、综合研究，以及重大工程选址地质条件适宜性评价；</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2.承担地质遗迹和古生物化石调查、评价、研究工作；</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3.承担地下空间资源地质安全监测网和活动断裂监测网的建设、运行和管理等事务性工作。</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（二）机构设置情况</w:t>
      </w:r>
    </w:p>
    <w:p w:rsidR="006D2475" w:rsidRDefault="00FE401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北京市地质调查研究所内设17个部门，分别为党委办公室、办公室、综合研究室、综合地质评价室、地质构造研究室、活动断裂监测室、地下空间研究室、地下空间监测室、地质遗迹研究室、基础地质数据室、技术质量科、安全保障科、计划财务科、人事科、纪检办公室、工会、离退休办公室等。</w:t>
      </w:r>
    </w:p>
    <w:p w:rsidR="006D2475" w:rsidRDefault="00FE4014">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6D2475" w:rsidRDefault="00FE401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9313.07</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减少610.67万元，下降6.15%。</w:t>
      </w:r>
    </w:p>
    <w:p w:rsidR="006D2475" w:rsidRDefault="00FE401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6D2475" w:rsidRDefault="00FE401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7017.61</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减少76.05万元，下降1.07%。</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1.财政拨款收入</w:t>
      </w:r>
      <w:r>
        <w:rPr>
          <w:rFonts w:ascii="仿宋_GB2312" w:eastAsia="仿宋_GB2312"/>
          <w:sz w:val="28"/>
          <w:szCs w:val="28"/>
        </w:rPr>
        <w:t>6569.39</w:t>
      </w:r>
      <w:r>
        <w:rPr>
          <w:rFonts w:ascii="仿宋_GB2312" w:eastAsia="仿宋_GB2312" w:hint="eastAsia"/>
          <w:sz w:val="28"/>
          <w:szCs w:val="28"/>
        </w:rPr>
        <w:t>万元，占收入合计的93.61%。其中：一般公共预算财政拨款收入</w:t>
      </w:r>
      <w:r>
        <w:rPr>
          <w:rFonts w:ascii="仿宋_GB2312" w:eastAsia="仿宋_GB2312"/>
          <w:sz w:val="28"/>
          <w:szCs w:val="28"/>
        </w:rPr>
        <w:t>6569.39</w:t>
      </w:r>
      <w:r>
        <w:rPr>
          <w:rFonts w:ascii="仿宋_GB2312" w:eastAsia="仿宋_GB2312" w:hint="eastAsia"/>
          <w:sz w:val="28"/>
          <w:szCs w:val="28"/>
        </w:rPr>
        <w:t>万元，占收入合计的93.61%；政府性基金预算财政拨款收入</w:t>
      </w:r>
      <w:r>
        <w:rPr>
          <w:rFonts w:ascii="仿宋_GB2312" w:eastAsia="仿宋_GB2312"/>
          <w:sz w:val="28"/>
          <w:szCs w:val="28"/>
        </w:rPr>
        <w:t>0</w:t>
      </w:r>
      <w:r>
        <w:rPr>
          <w:rFonts w:ascii="仿宋_GB2312" w:eastAsia="仿宋_GB2312" w:hint="eastAsia"/>
          <w:sz w:val="28"/>
          <w:szCs w:val="28"/>
        </w:rPr>
        <w:t>万元，占收入合计的0%；国有资本经营预算财政拨款收入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448.2</w:t>
      </w:r>
      <w:r>
        <w:rPr>
          <w:rFonts w:ascii="仿宋_GB2312" w:eastAsia="仿宋_GB2312" w:hint="eastAsia"/>
          <w:sz w:val="28"/>
          <w:szCs w:val="28"/>
        </w:rPr>
        <w:t>2万元，占收入合计的6.39%。</w:t>
      </w:r>
    </w:p>
    <w:p w:rsidR="006D2475" w:rsidRDefault="00FE4014">
      <w:pPr>
        <w:tabs>
          <w:tab w:val="center" w:pos="6979"/>
        </w:tabs>
        <w:spacing w:line="580" w:lineRule="exact"/>
        <w:ind w:firstLineChars="200" w:firstLine="643"/>
        <w:jc w:val="center"/>
        <w:rPr>
          <w:rFonts w:eastAsia="仿宋_GB2312"/>
        </w:rPr>
      </w:pPr>
      <w:r>
        <w:rPr>
          <w:rFonts w:ascii="仿宋_GB2312" w:eastAsia="仿宋_GB2312" w:hint="eastAsia"/>
          <w:b/>
          <w:bCs/>
          <w:color w:val="000000"/>
          <w:sz w:val="32"/>
          <w:szCs w:val="32"/>
        </w:rPr>
        <w:t>图1：收入决算</w:t>
      </w:r>
    </w:p>
    <w:p w:rsidR="006D2475" w:rsidRDefault="00FE4014">
      <w:pPr>
        <w:pStyle w:val="a3"/>
        <w:ind w:firstLine="420"/>
        <w:jc w:val="center"/>
      </w:pPr>
      <w:r>
        <w:rPr>
          <w:noProof/>
        </w:rPr>
        <w:drawing>
          <wp:inline distT="0" distB="0" distL="0" distR="0">
            <wp:extent cx="4226560" cy="2503170"/>
            <wp:effectExtent l="4445" t="4445" r="17145" b="698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D2475" w:rsidRDefault="00FE401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6D2475" w:rsidRDefault="00FE401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7106.72</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减少518.69万元，下降6.80%，其中：基本支出</w:t>
      </w:r>
      <w:r>
        <w:rPr>
          <w:rFonts w:ascii="仿宋_GB2312" w:eastAsia="仿宋_GB2312"/>
          <w:sz w:val="28"/>
          <w:szCs w:val="28"/>
        </w:rPr>
        <w:t>6027.67</w:t>
      </w:r>
      <w:r>
        <w:rPr>
          <w:rFonts w:ascii="仿宋_GB2312" w:eastAsia="仿宋_GB2312" w:hint="eastAsia"/>
          <w:sz w:val="28"/>
          <w:szCs w:val="28"/>
        </w:rPr>
        <w:t>万元，占支出合计的84.82%；项目支出</w:t>
      </w:r>
      <w:r>
        <w:rPr>
          <w:rFonts w:ascii="仿宋_GB2312" w:eastAsia="仿宋_GB2312"/>
          <w:sz w:val="28"/>
          <w:szCs w:val="28"/>
        </w:rPr>
        <w:t>1079.05</w:t>
      </w:r>
      <w:r>
        <w:rPr>
          <w:rFonts w:ascii="仿宋_GB2312" w:eastAsia="仿宋_GB2312" w:hint="eastAsia"/>
          <w:sz w:val="28"/>
          <w:szCs w:val="28"/>
        </w:rPr>
        <w:t>万元，占支出合计的15.18%;上缴上级支出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6D2475" w:rsidRDefault="00FE4014">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6D2475" w:rsidRDefault="00FE4014">
      <w:pPr>
        <w:jc w:val="center"/>
        <w:rPr>
          <w:rFonts w:ascii="黑体" w:eastAsia="黑体"/>
          <w:b/>
          <w:sz w:val="28"/>
          <w:szCs w:val="28"/>
        </w:rPr>
      </w:pPr>
      <w:r>
        <w:rPr>
          <w:noProof/>
        </w:rPr>
        <w:drawing>
          <wp:inline distT="0" distB="0" distL="114300" distR="114300">
            <wp:extent cx="4341495" cy="2615565"/>
            <wp:effectExtent l="4445" t="5080" r="16510" b="8255"/>
            <wp:docPr id="1"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D2475" w:rsidRDefault="00FE4014">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6D2475" w:rsidRDefault="00FE401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6616.85</w:t>
      </w:r>
      <w:r>
        <w:rPr>
          <w:rFonts w:ascii="仿宋_GB2312" w:eastAsia="仿宋_GB2312" w:hint="eastAsia"/>
          <w:sz w:val="28"/>
          <w:szCs w:val="28"/>
        </w:rPr>
        <w:t>万元，比上年减少650.87万元，下降8.96%。主要原因：2024年承担的公</w:t>
      </w:r>
      <w:r>
        <w:rPr>
          <w:rFonts w:ascii="仿宋_GB2312" w:eastAsia="仿宋_GB2312" w:hint="eastAsia"/>
          <w:sz w:val="28"/>
          <w:szCs w:val="28"/>
        </w:rPr>
        <w:lastRenderedPageBreak/>
        <w:t>益性地质项目减少等。</w:t>
      </w:r>
    </w:p>
    <w:p w:rsidR="006D2475" w:rsidRDefault="00FE4014">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6D2475" w:rsidRDefault="00FE401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6D2475" w:rsidRDefault="00FE401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6582.49</w:t>
      </w:r>
      <w:r>
        <w:rPr>
          <w:rFonts w:ascii="仿宋_GB2312" w:eastAsia="仿宋_GB2312" w:hint="eastAsia"/>
          <w:sz w:val="28"/>
          <w:szCs w:val="28"/>
        </w:rPr>
        <w:t>万元，主要用于以下方面（按大类）：社会保障和就业支出617.86万元，占本年财政拨款支出9.39%；卫生健康支出352.88万元，占本年财政拨款支出5.36%；自然资源海洋气象等支出5611.75万元，占本年财政拨款支出85.25%。</w:t>
      </w:r>
    </w:p>
    <w:p w:rsidR="006D2475" w:rsidRDefault="00FE401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6D2475" w:rsidRDefault="00FE401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1、“社会保障和就业支出”（类）2024年度年初预算637.27万元，2024年度决算617.86万元，完成年初预算的96.95%。其中：</w:t>
      </w:r>
    </w:p>
    <w:p w:rsidR="006D2475" w:rsidRDefault="00FE401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“行政事业单位养老支出”（款）2024年度年初预算637.27万元，2024年度决算617.86万元，完成年初预算的96.95%。主要原因：2024年编制内在职人员减少等。</w:t>
      </w:r>
    </w:p>
    <w:p w:rsidR="006D2475" w:rsidRDefault="00FE4014">
      <w:pPr>
        <w:spacing w:line="580" w:lineRule="exact"/>
        <w:ind w:firstLineChars="200" w:firstLine="560"/>
        <w:rPr>
          <w:rFonts w:ascii="仿宋_GB2312" w:eastAsia="仿宋_GB2312"/>
          <w:sz w:val="28"/>
          <w:szCs w:val="28"/>
        </w:rPr>
      </w:pPr>
      <w:r>
        <w:rPr>
          <w:rFonts w:ascii="仿宋_GB2312" w:eastAsia="仿宋_GB2312" w:hint="eastAsia"/>
          <w:sz w:val="28"/>
          <w:szCs w:val="28"/>
        </w:rPr>
        <w:t>2、“卫生健康支出”（类）2024年度年初预算361.84万元，2024年度决算352.88万元，完成年初预算的97.52%。其中：</w:t>
      </w:r>
    </w:p>
    <w:p w:rsidR="006D2475" w:rsidRDefault="00FE401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“行政事业单位医疗”（款）2024年度年初预算361.84万元，2024年度决算352.88万元，完成年初预算的97.52%。主要原因：2024年编制内在职人员减少等。</w:t>
      </w:r>
    </w:p>
    <w:p w:rsidR="006D2475" w:rsidRDefault="00FE4014">
      <w:pPr>
        <w:widowControl/>
        <w:ind w:firstLineChars="200" w:firstLine="560"/>
        <w:jc w:val="left"/>
        <w:rPr>
          <w:rFonts w:ascii="仿宋_GB2312" w:eastAsia="仿宋_GB2312"/>
          <w:sz w:val="28"/>
          <w:szCs w:val="28"/>
        </w:rPr>
      </w:pPr>
      <w:r>
        <w:rPr>
          <w:rFonts w:ascii="仿宋_GB2312" w:eastAsia="仿宋_GB2312" w:hint="eastAsia"/>
          <w:sz w:val="28"/>
          <w:szCs w:val="28"/>
        </w:rPr>
        <w:lastRenderedPageBreak/>
        <w:t>3、“自然资源海洋气象等支出”（类）2024年度年初预算5613.82万元，2024年度决算5611.75万元，完成年初预算的99.96%。其中：</w:t>
      </w:r>
    </w:p>
    <w:p w:rsidR="006D2475" w:rsidRDefault="00FE4014">
      <w:pPr>
        <w:widowControl/>
        <w:ind w:firstLineChars="200" w:firstLine="560"/>
        <w:jc w:val="left"/>
      </w:pPr>
      <w:r>
        <w:rPr>
          <w:rFonts w:ascii="仿宋_GB2312" w:eastAsia="仿宋_GB2312" w:hint="eastAsia"/>
          <w:sz w:val="28"/>
          <w:szCs w:val="28"/>
        </w:rPr>
        <w:t>“自然资源事务”（款）2024年度年初预算5613.82万元，2024年度决算5611.75万元，完成年初预算的99.96%。主要原因：压缩一般性支出等。</w:t>
      </w:r>
    </w:p>
    <w:p w:rsidR="006D2475" w:rsidRDefault="00FE4014">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6D2475" w:rsidRDefault="00FE4014">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6D2475" w:rsidRDefault="00FE4014">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6D2475" w:rsidRDefault="00FE4014">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6D2475" w:rsidRDefault="00FE4014">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6D2475" w:rsidRDefault="00FE4014">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5757.81</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6D2475" w:rsidRDefault="00FE4014">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lastRenderedPageBreak/>
        <w:tab/>
      </w:r>
    </w:p>
    <w:p w:rsidR="006D2475" w:rsidRDefault="00FE4014">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6D2475" w:rsidRDefault="00FE4014">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6D2475" w:rsidRDefault="00FE4014">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w:t>
      </w:r>
      <w:r>
        <w:rPr>
          <w:rFonts w:ascii="仿宋_GB2312" w:eastAsia="仿宋_GB2312"/>
          <w:sz w:val="28"/>
          <w:szCs w:val="28"/>
        </w:rPr>
        <w:t>5.3</w:t>
      </w:r>
      <w:r>
        <w:rPr>
          <w:rFonts w:ascii="仿宋_GB2312" w:eastAsia="仿宋_GB2312" w:hint="eastAsia"/>
          <w:sz w:val="28"/>
          <w:szCs w:val="28"/>
        </w:rPr>
        <w:t>0万元，与2024年度“三公”经费财政拨款年初预算</w:t>
      </w:r>
      <w:r>
        <w:rPr>
          <w:rFonts w:ascii="仿宋_GB2312" w:eastAsia="仿宋_GB2312"/>
          <w:sz w:val="28"/>
          <w:szCs w:val="28"/>
        </w:rPr>
        <w:t>5.3</w:t>
      </w:r>
      <w:r>
        <w:rPr>
          <w:rFonts w:ascii="仿宋_GB2312" w:eastAsia="仿宋_GB2312" w:hint="eastAsia"/>
          <w:sz w:val="28"/>
          <w:szCs w:val="28"/>
        </w:rPr>
        <w:t>0万元持平。其中：</w:t>
      </w:r>
    </w:p>
    <w:p w:rsidR="006D2475" w:rsidRDefault="00FE4014">
      <w:pPr>
        <w:spacing w:line="560" w:lineRule="exact"/>
        <w:ind w:firstLine="600"/>
        <w:rPr>
          <w:rFonts w:ascii="仿宋_GB2312" w:eastAsia="仿宋_GB2312"/>
          <w:sz w:val="28"/>
          <w:szCs w:val="28"/>
        </w:rPr>
      </w:pPr>
      <w:r>
        <w:rPr>
          <w:rFonts w:ascii="仿宋_GB2312" w:eastAsia="仿宋_GB2312" w:hint="eastAsia"/>
          <w:sz w:val="28"/>
          <w:szCs w:val="28"/>
        </w:rPr>
        <w:t>1.因公出国（境）费用。本单位无此项支出。</w:t>
      </w:r>
    </w:p>
    <w:p w:rsidR="006D2475" w:rsidRDefault="00FE4014">
      <w:pPr>
        <w:spacing w:line="560" w:lineRule="exact"/>
        <w:ind w:firstLine="600"/>
        <w:rPr>
          <w:rFonts w:ascii="仿宋_GB2312" w:eastAsia="仿宋_GB2312"/>
          <w:color w:val="FF0000"/>
          <w:sz w:val="28"/>
          <w:szCs w:val="28"/>
        </w:rPr>
      </w:pPr>
      <w:r>
        <w:rPr>
          <w:rFonts w:ascii="仿宋_GB2312" w:eastAsia="仿宋_GB2312" w:hint="eastAsia"/>
          <w:sz w:val="28"/>
          <w:szCs w:val="28"/>
        </w:rPr>
        <w:t>2.公务接待费。本单位无此项支出。</w:t>
      </w:r>
    </w:p>
    <w:p w:rsidR="006D2475" w:rsidRDefault="00FE4014">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3.公务用车购置及运行维护费。2024年度决算数</w:t>
      </w:r>
      <w:r>
        <w:rPr>
          <w:rFonts w:ascii="仿宋_GB2312" w:eastAsia="仿宋_GB2312"/>
          <w:sz w:val="28"/>
          <w:szCs w:val="28"/>
        </w:rPr>
        <w:t>5.3</w:t>
      </w:r>
      <w:r>
        <w:rPr>
          <w:rFonts w:ascii="仿宋_GB2312" w:eastAsia="仿宋_GB2312" w:hint="eastAsia"/>
          <w:sz w:val="28"/>
          <w:szCs w:val="28"/>
        </w:rPr>
        <w:t>0万元，与2024年度“三公”经费财政拨款年初预算</w:t>
      </w:r>
      <w:r>
        <w:rPr>
          <w:rFonts w:ascii="仿宋_GB2312" w:eastAsia="仿宋_GB2312"/>
          <w:sz w:val="28"/>
          <w:szCs w:val="28"/>
        </w:rPr>
        <w:t>5.</w:t>
      </w:r>
      <w:r>
        <w:rPr>
          <w:rFonts w:ascii="仿宋_GB2312" w:eastAsia="仿宋_GB2312" w:hint="eastAsia"/>
          <w:sz w:val="28"/>
          <w:szCs w:val="28"/>
        </w:rPr>
        <w:t>30万元持平。其中，公务用车购置费2024年度决算数0万元。公务用车运行维护费2024年度决算数5.30万元，主要原因：保障公务用车日常运行与维护。2024年度公务用车保有量</w:t>
      </w:r>
      <w:r>
        <w:rPr>
          <w:rFonts w:ascii="仿宋_GB2312" w:eastAsia="仿宋_GB2312"/>
          <w:sz w:val="28"/>
          <w:szCs w:val="28"/>
        </w:rPr>
        <w:t>5</w:t>
      </w:r>
      <w:r>
        <w:rPr>
          <w:rFonts w:ascii="仿宋_GB2312" w:eastAsia="仿宋_GB2312" w:hint="eastAsia"/>
          <w:sz w:val="28"/>
          <w:szCs w:val="28"/>
        </w:rPr>
        <w:t>辆。</w:t>
      </w:r>
    </w:p>
    <w:p w:rsidR="006D2475" w:rsidRDefault="00FE4014">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6D2475" w:rsidRDefault="00FE4014">
      <w:pPr>
        <w:ind w:firstLineChars="192" w:firstLine="538"/>
        <w:rPr>
          <w:rFonts w:ascii="仿宋_GB2312" w:eastAsia="仿宋_GB2312"/>
          <w:sz w:val="28"/>
          <w:szCs w:val="28"/>
        </w:rPr>
      </w:pPr>
      <w:r>
        <w:rPr>
          <w:rFonts w:ascii="仿宋_GB2312" w:eastAsia="仿宋_GB2312" w:hint="eastAsia"/>
          <w:sz w:val="28"/>
          <w:szCs w:val="28"/>
        </w:rPr>
        <w:t>我单位不在机关运行经费统计范围之内。</w:t>
      </w:r>
    </w:p>
    <w:p w:rsidR="006D2475" w:rsidRDefault="00FE4014">
      <w:pPr>
        <w:ind w:left="540"/>
        <w:rPr>
          <w:rFonts w:ascii="黑体" w:eastAsia="黑体"/>
          <w:sz w:val="28"/>
          <w:szCs w:val="28"/>
        </w:rPr>
      </w:pPr>
      <w:r>
        <w:rPr>
          <w:rFonts w:ascii="黑体" w:eastAsia="黑体" w:hint="eastAsia"/>
          <w:sz w:val="28"/>
          <w:szCs w:val="28"/>
        </w:rPr>
        <w:t>三、政府采购支出情况</w:t>
      </w:r>
    </w:p>
    <w:p w:rsidR="006D2475" w:rsidRDefault="00FE4014">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204.05</w:t>
      </w:r>
      <w:r>
        <w:rPr>
          <w:rFonts w:ascii="仿宋_GB2312" w:eastAsia="仿宋_GB2312" w:hint="eastAsia"/>
          <w:sz w:val="28"/>
          <w:szCs w:val="28"/>
        </w:rPr>
        <w:t>万元，其中：政府采购货物支出</w:t>
      </w:r>
      <w:r>
        <w:rPr>
          <w:rFonts w:ascii="仿宋_GB2312" w:eastAsia="仿宋_GB2312"/>
          <w:sz w:val="28"/>
          <w:szCs w:val="28"/>
        </w:rPr>
        <w:t>17.6</w:t>
      </w:r>
      <w:r>
        <w:rPr>
          <w:rFonts w:ascii="仿宋_GB2312" w:eastAsia="仿宋_GB2312" w:hint="eastAsia"/>
          <w:sz w:val="28"/>
          <w:szCs w:val="28"/>
        </w:rPr>
        <w:t>0万元，政府采购工程支出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186.45</w:t>
      </w:r>
      <w:r>
        <w:rPr>
          <w:rFonts w:ascii="仿宋_GB2312" w:eastAsia="仿宋_GB2312" w:hint="eastAsia"/>
          <w:sz w:val="28"/>
          <w:szCs w:val="28"/>
        </w:rPr>
        <w:t>万元。授予中小企业合同金额</w:t>
      </w:r>
      <w:r>
        <w:rPr>
          <w:rFonts w:ascii="仿宋_GB2312" w:eastAsia="仿宋_GB2312"/>
          <w:sz w:val="28"/>
          <w:szCs w:val="28"/>
        </w:rPr>
        <w:t>182.61</w:t>
      </w:r>
      <w:r>
        <w:rPr>
          <w:rFonts w:ascii="仿宋_GB2312" w:eastAsia="仿宋_GB2312" w:hint="eastAsia"/>
          <w:sz w:val="28"/>
          <w:szCs w:val="28"/>
        </w:rPr>
        <w:t>万元，占政府采购支出总额的89.49%，其中：授予小微企业合同金额</w:t>
      </w:r>
      <w:r>
        <w:rPr>
          <w:rFonts w:ascii="仿宋_GB2312" w:eastAsia="仿宋_GB2312"/>
          <w:sz w:val="28"/>
          <w:szCs w:val="28"/>
        </w:rPr>
        <w:t>182.61</w:t>
      </w:r>
      <w:r>
        <w:rPr>
          <w:rFonts w:ascii="仿宋_GB2312" w:eastAsia="仿宋_GB2312" w:hint="eastAsia"/>
          <w:sz w:val="28"/>
          <w:szCs w:val="28"/>
        </w:rPr>
        <w:t>万元，占政府采购支出总额的</w:t>
      </w:r>
      <w:r>
        <w:rPr>
          <w:rFonts w:ascii="仿宋_GB2312" w:eastAsia="仿宋_GB2312"/>
          <w:sz w:val="28"/>
          <w:szCs w:val="28"/>
        </w:rPr>
        <w:t>89.49</w:t>
      </w:r>
      <w:r>
        <w:rPr>
          <w:rFonts w:ascii="仿宋_GB2312" w:eastAsia="仿宋_GB2312" w:hint="eastAsia"/>
          <w:sz w:val="28"/>
          <w:szCs w:val="28"/>
        </w:rPr>
        <w:t>%。</w:t>
      </w:r>
    </w:p>
    <w:p w:rsidR="006D2475" w:rsidRDefault="00FE4014">
      <w:pPr>
        <w:ind w:firstLineChars="200" w:firstLine="560"/>
        <w:rPr>
          <w:rFonts w:ascii="黑体" w:eastAsia="黑体"/>
          <w:sz w:val="28"/>
          <w:szCs w:val="28"/>
          <w:highlight w:val="yellow"/>
        </w:rPr>
      </w:pPr>
      <w:r>
        <w:rPr>
          <w:rFonts w:ascii="黑体" w:eastAsia="黑体" w:hint="eastAsia"/>
          <w:sz w:val="28"/>
          <w:szCs w:val="28"/>
        </w:rPr>
        <w:lastRenderedPageBreak/>
        <w:t>四、国有资产占用情况</w:t>
      </w:r>
    </w:p>
    <w:p w:rsidR="006D2475" w:rsidRDefault="00FE4014">
      <w:pPr>
        <w:ind w:firstLineChars="200" w:firstLine="560"/>
        <w:rPr>
          <w:rFonts w:ascii="仿宋_GB2312" w:eastAsia="仿宋_GB2312"/>
          <w:sz w:val="32"/>
          <w:szCs w:val="32"/>
        </w:rPr>
      </w:pPr>
      <w:r>
        <w:rPr>
          <w:rFonts w:ascii="仿宋_GB2312" w:eastAsia="仿宋_GB2312" w:hint="eastAsia"/>
          <w:sz w:val="28"/>
          <w:szCs w:val="28"/>
        </w:rPr>
        <w:t>截至12月31日，北京市地质调查研究所共有车辆5台；单位价值100万元（含）以上的设备6台（套）。</w:t>
      </w:r>
    </w:p>
    <w:p w:rsidR="006D2475" w:rsidRDefault="00FE4014">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6D2475" w:rsidRDefault="00FE4014">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6D2475" w:rsidRDefault="00FE4014">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6D2475" w:rsidRDefault="00FE4014">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6D2475" w:rsidRDefault="00FE4014">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6D2475" w:rsidRDefault="00FE4014">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6D2475" w:rsidRDefault="00FE4014">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6D2475" w:rsidRDefault="00FE4014">
      <w:pPr>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w:t>
      </w:r>
      <w:r>
        <w:rPr>
          <w:rFonts w:ascii="仿宋_GB2312" w:eastAsia="仿宋_GB2312"/>
          <w:sz w:val="28"/>
          <w:szCs w:val="28"/>
        </w:rPr>
        <w:lastRenderedPageBreak/>
        <w:t>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6D2475" w:rsidRDefault="00FE4014">
      <w:pPr>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6B0703" w:rsidRDefault="006B0703" w:rsidP="006B0703">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6B0703" w:rsidRDefault="006B0703" w:rsidP="006B0703">
      <w:pPr>
        <w:ind w:firstLineChars="200" w:firstLine="560"/>
        <w:rPr>
          <w:rFonts w:ascii="仿宋_GB2312" w:eastAsia="仿宋_GB2312"/>
          <w:sz w:val="28"/>
          <w:szCs w:val="28"/>
        </w:rPr>
      </w:pPr>
      <w:r w:rsidRPr="00724FC0">
        <w:rPr>
          <w:rFonts w:ascii="仿宋_GB2312" w:eastAsia="仿宋_GB2312" w:hint="eastAsia"/>
          <w:sz w:val="28"/>
          <w:szCs w:val="28"/>
        </w:rPr>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6B0703" w:rsidRDefault="006B0703" w:rsidP="006B0703">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6B0703" w:rsidRDefault="006B0703" w:rsidP="006B0703">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6B0703" w:rsidRDefault="006B0703" w:rsidP="006B0703">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6B0703" w:rsidRDefault="006B0703" w:rsidP="006B0703">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：反映自然资源部门用于自然资源调查监测评价，自然资源统一确权登记等方面的支出。</w:t>
      </w:r>
    </w:p>
    <w:p w:rsidR="006B0703" w:rsidRDefault="006B0703" w:rsidP="006B0703">
      <w:pPr>
        <w:ind w:firstLineChars="200" w:firstLine="560"/>
        <w:rPr>
          <w:rFonts w:ascii="仿宋_GB2312" w:eastAsia="仿宋_GB2312"/>
          <w:sz w:val="28"/>
          <w:szCs w:val="28"/>
        </w:rPr>
      </w:pPr>
      <w:r w:rsidRPr="004905F8">
        <w:rPr>
          <w:rFonts w:ascii="仿宋_GB2312" w:eastAsia="仿宋_GB2312" w:hint="eastAsia"/>
          <w:sz w:val="28"/>
          <w:szCs w:val="28"/>
        </w:rPr>
        <w:lastRenderedPageBreak/>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6B0703" w:rsidRDefault="006B0703" w:rsidP="006B0703">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6D2475" w:rsidRPr="006B0703" w:rsidRDefault="006B0703" w:rsidP="006B0703">
      <w:pPr>
        <w:ind w:firstLineChars="200" w:firstLine="56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6D2475" w:rsidRDefault="006D2475">
      <w:pPr>
        <w:pStyle w:val="2"/>
        <w:rPr>
          <w:rFonts w:ascii="宋体" w:hAnsi="宋体" w:cs="宋体"/>
          <w:sz w:val="28"/>
          <w:szCs w:val="28"/>
        </w:rPr>
      </w:pPr>
      <w:bookmarkStart w:id="0" w:name="_GoBack"/>
      <w:bookmarkEnd w:id="0"/>
    </w:p>
    <w:p w:rsidR="006D2475" w:rsidRDefault="006D2475">
      <w:pPr>
        <w:rPr>
          <w:rFonts w:ascii="宋体" w:hAnsi="宋体" w:cs="宋体"/>
          <w:b/>
          <w:bCs/>
          <w:kern w:val="0"/>
          <w:sz w:val="28"/>
          <w:szCs w:val="28"/>
        </w:rPr>
      </w:pPr>
    </w:p>
    <w:p w:rsidR="006D2475" w:rsidRDefault="006D2475">
      <w:pPr>
        <w:pStyle w:val="2"/>
        <w:rPr>
          <w:rFonts w:ascii="宋体" w:hAnsi="宋体" w:cs="宋体"/>
          <w:sz w:val="28"/>
          <w:szCs w:val="28"/>
        </w:rPr>
      </w:pPr>
    </w:p>
    <w:p w:rsidR="006D2475" w:rsidRDefault="006D2475">
      <w:pPr>
        <w:rPr>
          <w:rFonts w:ascii="宋体" w:hAnsi="宋体" w:cs="宋体"/>
          <w:b/>
          <w:bCs/>
          <w:kern w:val="0"/>
          <w:sz w:val="28"/>
          <w:szCs w:val="28"/>
        </w:rPr>
      </w:pPr>
    </w:p>
    <w:p w:rsidR="006D2475" w:rsidRDefault="006D2475">
      <w:pPr>
        <w:rPr>
          <w:rFonts w:ascii="黑体" w:eastAsia="黑体"/>
          <w:sz w:val="32"/>
          <w:szCs w:val="32"/>
        </w:rPr>
      </w:pPr>
    </w:p>
    <w:p w:rsidR="006D2475" w:rsidRDefault="006D2475">
      <w:pPr>
        <w:pStyle w:val="2"/>
      </w:pPr>
    </w:p>
    <w:p w:rsidR="006D2475" w:rsidRDefault="006D2475">
      <w:pPr>
        <w:ind w:firstLineChars="200" w:firstLine="640"/>
        <w:jc w:val="center"/>
        <w:rPr>
          <w:rFonts w:ascii="黑体" w:eastAsia="黑体"/>
          <w:sz w:val="32"/>
          <w:szCs w:val="32"/>
        </w:rPr>
      </w:pPr>
    </w:p>
    <w:p w:rsidR="006D2475" w:rsidRDefault="00FE4014">
      <w:pPr>
        <w:ind w:firstLineChars="200" w:firstLine="640"/>
        <w:jc w:val="center"/>
        <w:rPr>
          <w:rFonts w:ascii="黑体" w:eastAsia="黑体"/>
          <w:sz w:val="32"/>
          <w:szCs w:val="32"/>
        </w:rPr>
      </w:pPr>
      <w:r>
        <w:rPr>
          <w:rFonts w:ascii="黑体" w:eastAsia="黑体" w:hint="eastAsia"/>
          <w:sz w:val="32"/>
          <w:szCs w:val="32"/>
        </w:rPr>
        <w:t>第四部分  2024年度单位绩效评价情况</w:t>
      </w:r>
    </w:p>
    <w:p w:rsidR="006D2475" w:rsidRDefault="006D2475">
      <w:pPr>
        <w:ind w:firstLineChars="200" w:firstLine="560"/>
        <w:rPr>
          <w:rFonts w:ascii="黑体" w:eastAsia="黑体"/>
          <w:sz w:val="28"/>
          <w:szCs w:val="28"/>
          <w:highlight w:val="yellow"/>
        </w:rPr>
      </w:pPr>
    </w:p>
    <w:p w:rsidR="006D2475" w:rsidRDefault="00FE4014">
      <w:pPr>
        <w:numPr>
          <w:ilvl w:val="0"/>
          <w:numId w:val="1"/>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p>
    <w:p w:rsidR="006D2475" w:rsidRDefault="00FE4014">
      <w:pPr>
        <w:ind w:firstLineChars="200" w:firstLine="560"/>
        <w:rPr>
          <w:rFonts w:eastAsia="仿宋_GB2312"/>
        </w:rPr>
      </w:pPr>
      <w:r>
        <w:rPr>
          <w:rFonts w:ascii="仿宋_GB2312" w:eastAsia="仿宋_GB2312" w:hAnsi="仿宋_GB2312" w:cs="仿宋_GB2312" w:hint="eastAsia"/>
          <w:sz w:val="28"/>
          <w:szCs w:val="28"/>
        </w:rPr>
        <w:t>项目支出绩效自评表详见附件。</w:t>
      </w:r>
    </w:p>
    <w:p w:rsidR="006D2475" w:rsidRDefault="006D2475">
      <w:pPr>
        <w:spacing w:line="480" w:lineRule="exact"/>
        <w:rPr>
          <w:rFonts w:ascii="仿宋_GB2312" w:eastAsia="仿宋_GB2312" w:hAnsi="仿宋_GB2312" w:cs="仿宋_GB2312"/>
          <w:sz w:val="32"/>
          <w:szCs w:val="32"/>
        </w:rPr>
      </w:pPr>
    </w:p>
    <w:p w:rsidR="006D2475" w:rsidRDefault="006D2475">
      <w:pPr>
        <w:spacing w:line="480" w:lineRule="exact"/>
      </w:pPr>
    </w:p>
    <w:sectPr w:rsidR="006D2475">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7ED" w:rsidRDefault="00F427ED">
      <w:r>
        <w:separator/>
      </w:r>
    </w:p>
  </w:endnote>
  <w:endnote w:type="continuationSeparator" w:id="0">
    <w:p w:rsidR="00F427ED" w:rsidRDefault="00F4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475" w:rsidRDefault="00FE4014">
    <w:pPr>
      <w:pStyle w:val="a7"/>
      <w:framePr w:wrap="around" w:vAnchor="text" w:hAnchor="margin" w:xAlign="center" w:y="1"/>
      <w:rPr>
        <w:rStyle w:val="ab"/>
      </w:rPr>
    </w:pPr>
    <w:r>
      <w:fldChar w:fldCharType="begin"/>
    </w:r>
    <w:r>
      <w:rPr>
        <w:rStyle w:val="ab"/>
      </w:rPr>
      <w:instrText xml:space="preserve">PAGE  </w:instrText>
    </w:r>
    <w:r>
      <w:fldChar w:fldCharType="separate"/>
    </w:r>
    <w:r w:rsidR="006B0703">
      <w:rPr>
        <w:rStyle w:val="ab"/>
        <w:noProof/>
      </w:rPr>
      <w:t>3</w:t>
    </w:r>
    <w:r>
      <w:fldChar w:fldCharType="end"/>
    </w:r>
  </w:p>
  <w:p w:rsidR="006D2475" w:rsidRDefault="006D247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475" w:rsidRDefault="00FE4014">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6D2475" w:rsidRDefault="006D247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475" w:rsidRDefault="00FE4014">
    <w:pPr>
      <w:pStyle w:val="a7"/>
      <w:framePr w:wrap="around" w:vAnchor="text" w:hAnchor="margin" w:xAlign="center" w:y="1"/>
      <w:rPr>
        <w:rStyle w:val="ab"/>
      </w:rPr>
    </w:pPr>
    <w:r>
      <w:fldChar w:fldCharType="begin"/>
    </w:r>
    <w:r>
      <w:rPr>
        <w:rStyle w:val="ab"/>
      </w:rPr>
      <w:instrText xml:space="preserve">PAGE  </w:instrText>
    </w:r>
    <w:r>
      <w:fldChar w:fldCharType="separate"/>
    </w:r>
    <w:r w:rsidR="006B0703">
      <w:rPr>
        <w:rStyle w:val="ab"/>
        <w:noProof/>
      </w:rPr>
      <w:t>9</w:t>
    </w:r>
    <w:r>
      <w:fldChar w:fldCharType="end"/>
    </w:r>
  </w:p>
  <w:p w:rsidR="006D2475" w:rsidRDefault="006D247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7ED" w:rsidRDefault="00F427ED">
      <w:r>
        <w:separator/>
      </w:r>
    </w:p>
  </w:footnote>
  <w:footnote w:type="continuationSeparator" w:id="0">
    <w:p w:rsidR="00F427ED" w:rsidRDefault="00F42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ZmNWE4NzRhMTczNjJlZDE5ZTE5YTczN2QxMzcyMjAifQ=="/>
  </w:docVars>
  <w:rsids>
    <w:rsidRoot w:val="00100246"/>
    <w:rsid w:val="95F35EF6"/>
    <w:rsid w:val="9BFFD860"/>
    <w:rsid w:val="AC5F73DE"/>
    <w:rsid w:val="B5DDD2C8"/>
    <w:rsid w:val="B9DFABD9"/>
    <w:rsid w:val="BB2613A0"/>
    <w:rsid w:val="BC0D83FC"/>
    <w:rsid w:val="BF3BDEFB"/>
    <w:rsid w:val="C75F6086"/>
    <w:rsid w:val="C7F7ED2D"/>
    <w:rsid w:val="CFAF854E"/>
    <w:rsid w:val="D7F2EC2D"/>
    <w:rsid w:val="D8D7928E"/>
    <w:rsid w:val="D8FE3136"/>
    <w:rsid w:val="DDDE60B7"/>
    <w:rsid w:val="DE9F6A22"/>
    <w:rsid w:val="DF4FCE6A"/>
    <w:rsid w:val="DFE93F0D"/>
    <w:rsid w:val="E4FED278"/>
    <w:rsid w:val="EAFF9DE1"/>
    <w:rsid w:val="EDAA365C"/>
    <w:rsid w:val="EDADFC12"/>
    <w:rsid w:val="EF9D5726"/>
    <w:rsid w:val="F16FA856"/>
    <w:rsid w:val="F2FD229B"/>
    <w:rsid w:val="F567044C"/>
    <w:rsid w:val="F7760F63"/>
    <w:rsid w:val="F7F709E9"/>
    <w:rsid w:val="F7FF3690"/>
    <w:rsid w:val="F9BD3900"/>
    <w:rsid w:val="FAFF5863"/>
    <w:rsid w:val="FB7707A7"/>
    <w:rsid w:val="FB78BA31"/>
    <w:rsid w:val="FBF37B94"/>
    <w:rsid w:val="FC8B9876"/>
    <w:rsid w:val="FD922ACF"/>
    <w:rsid w:val="FDB9DE98"/>
    <w:rsid w:val="FED77088"/>
    <w:rsid w:val="FEDFEC6E"/>
    <w:rsid w:val="FEDFF218"/>
    <w:rsid w:val="FEDFFFFF"/>
    <w:rsid w:val="FFEB4740"/>
    <w:rsid w:val="00003B03"/>
    <w:rsid w:val="000040E6"/>
    <w:rsid w:val="00010AC9"/>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C4AF2"/>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5673C"/>
    <w:rsid w:val="0026479D"/>
    <w:rsid w:val="002673C4"/>
    <w:rsid w:val="0027112B"/>
    <w:rsid w:val="00271C3F"/>
    <w:rsid w:val="00272460"/>
    <w:rsid w:val="00273070"/>
    <w:rsid w:val="0027394A"/>
    <w:rsid w:val="00274D50"/>
    <w:rsid w:val="002760D5"/>
    <w:rsid w:val="00276289"/>
    <w:rsid w:val="0028081D"/>
    <w:rsid w:val="0028458C"/>
    <w:rsid w:val="00287B83"/>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86B79"/>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84DF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035BE"/>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703"/>
    <w:rsid w:val="006B0CB9"/>
    <w:rsid w:val="006B2609"/>
    <w:rsid w:val="006B2750"/>
    <w:rsid w:val="006B3678"/>
    <w:rsid w:val="006B7390"/>
    <w:rsid w:val="006C0084"/>
    <w:rsid w:val="006C107D"/>
    <w:rsid w:val="006C3600"/>
    <w:rsid w:val="006C4534"/>
    <w:rsid w:val="006C5205"/>
    <w:rsid w:val="006C75F6"/>
    <w:rsid w:val="006D2475"/>
    <w:rsid w:val="006D3F53"/>
    <w:rsid w:val="006D60AF"/>
    <w:rsid w:val="006E4722"/>
    <w:rsid w:val="00701651"/>
    <w:rsid w:val="007049BF"/>
    <w:rsid w:val="00704E79"/>
    <w:rsid w:val="00707A26"/>
    <w:rsid w:val="00707F44"/>
    <w:rsid w:val="0071120F"/>
    <w:rsid w:val="00716380"/>
    <w:rsid w:val="00722165"/>
    <w:rsid w:val="00724B1C"/>
    <w:rsid w:val="007428F0"/>
    <w:rsid w:val="007512EF"/>
    <w:rsid w:val="007551AC"/>
    <w:rsid w:val="0076101C"/>
    <w:rsid w:val="00763D87"/>
    <w:rsid w:val="007670B2"/>
    <w:rsid w:val="007670EE"/>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7445C"/>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AF64E1"/>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66A5"/>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2895"/>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2553"/>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27ED"/>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4014"/>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B6AFCF5"/>
    <w:rsid w:val="1DEF20B0"/>
    <w:rsid w:val="214243FA"/>
    <w:rsid w:val="21AD613C"/>
    <w:rsid w:val="22467189"/>
    <w:rsid w:val="257A14F5"/>
    <w:rsid w:val="27196C26"/>
    <w:rsid w:val="29EF086F"/>
    <w:rsid w:val="2EFFE297"/>
    <w:rsid w:val="301437CA"/>
    <w:rsid w:val="309729B9"/>
    <w:rsid w:val="349D1F0A"/>
    <w:rsid w:val="34DD0473"/>
    <w:rsid w:val="3BDFD019"/>
    <w:rsid w:val="3C684897"/>
    <w:rsid w:val="433E495C"/>
    <w:rsid w:val="47FFC27F"/>
    <w:rsid w:val="489F2FD7"/>
    <w:rsid w:val="4AC27CB3"/>
    <w:rsid w:val="4BF72BEF"/>
    <w:rsid w:val="4FA90297"/>
    <w:rsid w:val="4FC41A43"/>
    <w:rsid w:val="51DB3C59"/>
    <w:rsid w:val="550C0952"/>
    <w:rsid w:val="55762E42"/>
    <w:rsid w:val="57A7B272"/>
    <w:rsid w:val="58470068"/>
    <w:rsid w:val="58747CAC"/>
    <w:rsid w:val="5A1720F9"/>
    <w:rsid w:val="5B9C37C2"/>
    <w:rsid w:val="5BA7C654"/>
    <w:rsid w:val="5F55E477"/>
    <w:rsid w:val="60A54109"/>
    <w:rsid w:val="61D01CDF"/>
    <w:rsid w:val="64C0607C"/>
    <w:rsid w:val="65756C86"/>
    <w:rsid w:val="674D385B"/>
    <w:rsid w:val="676F09E1"/>
    <w:rsid w:val="6F35F28C"/>
    <w:rsid w:val="6F6F20CA"/>
    <w:rsid w:val="6FEB9DD3"/>
    <w:rsid w:val="72F31443"/>
    <w:rsid w:val="7357290B"/>
    <w:rsid w:val="77EF27F4"/>
    <w:rsid w:val="798524E4"/>
    <w:rsid w:val="7A7F1C49"/>
    <w:rsid w:val="7ABF3242"/>
    <w:rsid w:val="7AEE1EB6"/>
    <w:rsid w:val="7B5B7AE6"/>
    <w:rsid w:val="7B7B6628"/>
    <w:rsid w:val="7BA7071E"/>
    <w:rsid w:val="7BDF6DA8"/>
    <w:rsid w:val="7BF597BF"/>
    <w:rsid w:val="7C7EDC1A"/>
    <w:rsid w:val="7CCED98D"/>
    <w:rsid w:val="7D08410F"/>
    <w:rsid w:val="7DB96DED"/>
    <w:rsid w:val="7DD3AD81"/>
    <w:rsid w:val="7F379551"/>
    <w:rsid w:val="7F7FE70F"/>
    <w:rsid w:val="7FDD1A08"/>
    <w:rsid w:val="7FFDBBD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4D74EC-6155-4B29-B3AE-CDD33B00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p>
        </c:rich>
      </c:tx>
      <c:overlay val="0"/>
    </c:title>
    <c:autoTitleDeleted val="0"/>
    <c:plotArea>
      <c:layout/>
      <c:pieChart>
        <c:varyColors val="1"/>
        <c:ser>
          <c:idx val="0"/>
          <c:order val="0"/>
          <c:tx>
            <c:strRef>
              <c:f>Sheet1!$B$1</c:f>
              <c:strCache>
                <c:ptCount val="1"/>
                <c:pt idx="0">
                  <c:v>收入</c:v>
                </c:pt>
              </c:strCache>
            </c:strRef>
          </c:tx>
          <c:dPt>
            <c:idx val="0"/>
            <c:bubble3D val="0"/>
          </c:dPt>
          <c:dPt>
            <c:idx val="1"/>
            <c:bubble3D val="0"/>
          </c:dPt>
          <c:dPt>
            <c:idx val="2"/>
            <c:bubble3D val="0"/>
          </c:dPt>
          <c:dPt>
            <c:idx val="3"/>
            <c:bubble3D val="0"/>
          </c:dPt>
          <c:dPt>
            <c:idx val="4"/>
            <c:bubble3D val="0"/>
          </c:dPt>
          <c:dPt>
            <c:idx val="5"/>
            <c:bubble3D val="0"/>
          </c:dPt>
          <c:dLbls>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6569.39</c:v>
                </c:pt>
                <c:pt idx="1">
                  <c:v>0</c:v>
                </c:pt>
                <c:pt idx="2">
                  <c:v>0</c:v>
                </c:pt>
                <c:pt idx="3">
                  <c:v>0</c:v>
                </c:pt>
                <c:pt idx="4">
                  <c:v>0</c:v>
                </c:pt>
                <c:pt idx="5">
                  <c:v>448.21</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ayout>
        <c:manualLayout>
          <c:xMode val="edge"/>
          <c:yMode val="edge"/>
          <c:x val="0.73855592260500202"/>
          <c:y val="0.30133624215980398"/>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prstDash val="solid"/>
                  <a:round/>
                </a:ln>
                <a:effectLst/>
              </c:spPr>
            </c:leaderLines>
            <c:extLst>
              <c:ext xmlns:c15="http://schemas.microsoft.com/office/drawing/2012/chart" uri="{CE6537A1-D6FC-4f65-9D91-7224C49458BB}"/>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6027.67</c:v>
                </c:pt>
                <c:pt idx="1">
                  <c:v>1079.05</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2"/>
        <c:delete val="1"/>
      </c:legendEntry>
      <c:legendEntry>
        <c:idx val="3"/>
        <c:delete val="1"/>
      </c:legendEntry>
      <c:legendEntry>
        <c:idx val="4"/>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zero"/>
    <c:showDLblsOverMax val="0"/>
  </c:chart>
  <c:spPr>
    <a:ln w="9525" cap="flat" cmpd="sng" algn="ctr">
      <a:solidFill>
        <a:schemeClr val="tx1"/>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2053</Words>
  <Characters>2587</Characters>
  <Application>Microsoft Office Word</Application>
  <DocSecurity>0</DocSecurity>
  <Lines>862</Lines>
  <Paragraphs>927</Paragraphs>
  <ScaleCrop>false</ScaleCrop>
  <Company/>
  <LinksUpToDate>false</LinksUpToDate>
  <CharactersWithSpaces>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15</cp:revision>
  <cp:lastPrinted>2020-08-09T11:39:00Z</cp:lastPrinted>
  <dcterms:created xsi:type="dcterms:W3CDTF">2025-08-22T19:00:00Z</dcterms:created>
  <dcterms:modified xsi:type="dcterms:W3CDTF">2025-08-26T05:24:00Z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