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4D4" w:rsidRDefault="000134D4">
      <w:pPr>
        <w:jc w:val="center"/>
        <w:rPr>
          <w:rFonts w:ascii="仿宋_GB2312" w:eastAsia="仿宋_GB2312"/>
          <w:b/>
          <w:sz w:val="32"/>
          <w:szCs w:val="32"/>
        </w:rPr>
      </w:pPr>
    </w:p>
    <w:p w:rsidR="000134D4" w:rsidRDefault="000134D4">
      <w:pPr>
        <w:jc w:val="center"/>
        <w:rPr>
          <w:rFonts w:ascii="黑体" w:eastAsia="黑体"/>
          <w:sz w:val="72"/>
          <w:szCs w:val="72"/>
        </w:rPr>
      </w:pPr>
    </w:p>
    <w:p w:rsidR="000134D4" w:rsidRDefault="000134D4">
      <w:pPr>
        <w:jc w:val="center"/>
        <w:rPr>
          <w:rFonts w:ascii="黑体" w:eastAsia="黑体"/>
          <w:sz w:val="72"/>
          <w:szCs w:val="72"/>
        </w:rPr>
      </w:pPr>
    </w:p>
    <w:p w:rsidR="000134D4" w:rsidRDefault="000134D4">
      <w:pPr>
        <w:jc w:val="center"/>
        <w:rPr>
          <w:rFonts w:ascii="黑体" w:eastAsia="黑体"/>
          <w:sz w:val="72"/>
          <w:szCs w:val="72"/>
        </w:rPr>
      </w:pPr>
    </w:p>
    <w:p w:rsidR="000134D4" w:rsidRDefault="0063060F">
      <w:pPr>
        <w:jc w:val="center"/>
        <w:rPr>
          <w:rFonts w:ascii="黑体" w:eastAsia="黑体"/>
          <w:sz w:val="72"/>
          <w:szCs w:val="72"/>
        </w:rPr>
      </w:pPr>
      <w:r>
        <w:rPr>
          <w:rFonts w:ascii="黑体" w:eastAsia="黑体" w:hint="eastAsia"/>
          <w:sz w:val="72"/>
          <w:szCs w:val="72"/>
        </w:rPr>
        <w:t>北京市</w:t>
      </w:r>
      <w:r>
        <w:rPr>
          <w:rFonts w:ascii="黑体" w:eastAsia="黑体"/>
          <w:sz w:val="72"/>
          <w:szCs w:val="72"/>
        </w:rPr>
        <w:t>地质环境监测所</w:t>
      </w:r>
    </w:p>
    <w:p w:rsidR="000134D4" w:rsidRDefault="000A090E">
      <w:pPr>
        <w:jc w:val="center"/>
        <w:rPr>
          <w:rFonts w:ascii="黑体" w:eastAsia="黑体"/>
          <w:sz w:val="72"/>
          <w:szCs w:val="72"/>
        </w:rPr>
      </w:pPr>
      <w:r>
        <w:rPr>
          <w:rFonts w:ascii="黑体" w:eastAsia="黑体" w:hint="eastAsia"/>
          <w:sz w:val="72"/>
          <w:szCs w:val="72"/>
        </w:rPr>
        <w:t>2024年度单位决算</w:t>
      </w:r>
    </w:p>
    <w:p w:rsidR="000134D4" w:rsidRDefault="000134D4">
      <w:pPr>
        <w:jc w:val="center"/>
        <w:rPr>
          <w:rFonts w:ascii="黑体" w:eastAsia="黑体"/>
          <w:sz w:val="52"/>
          <w:szCs w:val="52"/>
        </w:rPr>
      </w:pPr>
    </w:p>
    <w:p w:rsidR="000134D4" w:rsidRDefault="000134D4">
      <w:pPr>
        <w:jc w:val="center"/>
        <w:rPr>
          <w:rFonts w:ascii="黑体" w:eastAsia="黑体"/>
          <w:sz w:val="52"/>
          <w:szCs w:val="52"/>
        </w:rPr>
      </w:pPr>
    </w:p>
    <w:p w:rsidR="000134D4" w:rsidRDefault="000134D4">
      <w:pPr>
        <w:jc w:val="center"/>
        <w:rPr>
          <w:rFonts w:ascii="黑体" w:eastAsia="黑体"/>
          <w:sz w:val="52"/>
          <w:szCs w:val="52"/>
        </w:rPr>
      </w:pPr>
    </w:p>
    <w:p w:rsidR="000134D4" w:rsidRDefault="000134D4">
      <w:pPr>
        <w:jc w:val="center"/>
        <w:rPr>
          <w:rFonts w:ascii="黑体" w:eastAsia="黑体"/>
          <w:sz w:val="52"/>
          <w:szCs w:val="52"/>
        </w:rPr>
      </w:pPr>
    </w:p>
    <w:p w:rsidR="000134D4" w:rsidRDefault="000134D4">
      <w:pPr>
        <w:jc w:val="center"/>
        <w:rPr>
          <w:rFonts w:ascii="黑体" w:eastAsia="黑体"/>
          <w:sz w:val="32"/>
          <w:szCs w:val="32"/>
        </w:rPr>
      </w:pPr>
    </w:p>
    <w:p w:rsidR="000134D4" w:rsidRDefault="000A090E">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0134D4" w:rsidRDefault="000134D4">
      <w:pPr>
        <w:spacing w:line="500" w:lineRule="exact"/>
        <w:ind w:firstLine="645"/>
        <w:jc w:val="center"/>
        <w:rPr>
          <w:rFonts w:ascii="宋体" w:hAnsi="宋体" w:cs="宋体"/>
          <w:b/>
          <w:bCs/>
          <w:kern w:val="0"/>
          <w:sz w:val="36"/>
          <w:szCs w:val="36"/>
        </w:rPr>
      </w:pPr>
    </w:p>
    <w:p w:rsidR="000134D4" w:rsidRDefault="000A090E">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0134D4" w:rsidRDefault="000A090E">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0134D4" w:rsidRDefault="000A090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0134D4" w:rsidRDefault="000A090E">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0134D4" w:rsidRDefault="000A090E">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0134D4" w:rsidRDefault="000A090E">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0134D4" w:rsidRDefault="000134D4">
      <w:pPr>
        <w:tabs>
          <w:tab w:val="center" w:pos="6979"/>
        </w:tabs>
        <w:spacing w:beforeLines="50" w:before="156" w:afterLines="50" w:after="156"/>
        <w:jc w:val="center"/>
        <w:rPr>
          <w:rFonts w:ascii="宋体" w:hAnsi="宋体" w:cs="宋体"/>
          <w:b/>
          <w:bCs/>
          <w:spacing w:val="40"/>
          <w:kern w:val="0"/>
          <w:sz w:val="32"/>
          <w:szCs w:val="32"/>
        </w:rPr>
      </w:pPr>
    </w:p>
    <w:p w:rsidR="000134D4" w:rsidRDefault="000134D4">
      <w:pPr>
        <w:tabs>
          <w:tab w:val="center" w:pos="6979"/>
        </w:tabs>
        <w:spacing w:beforeLines="50" w:before="156" w:afterLines="50" w:after="156"/>
        <w:jc w:val="center"/>
        <w:rPr>
          <w:rFonts w:ascii="宋体" w:hAnsi="宋体" w:cs="宋体"/>
          <w:b/>
          <w:bCs/>
          <w:spacing w:val="40"/>
          <w:kern w:val="0"/>
          <w:sz w:val="32"/>
          <w:szCs w:val="32"/>
        </w:rPr>
      </w:pPr>
    </w:p>
    <w:p w:rsidR="000134D4" w:rsidRDefault="000134D4">
      <w:pPr>
        <w:tabs>
          <w:tab w:val="center" w:pos="6979"/>
        </w:tabs>
        <w:spacing w:beforeLines="50" w:before="156" w:afterLines="50" w:after="156"/>
        <w:jc w:val="center"/>
        <w:rPr>
          <w:rFonts w:ascii="宋体" w:hAnsi="宋体" w:cs="宋体"/>
          <w:b/>
          <w:bCs/>
          <w:spacing w:val="40"/>
          <w:kern w:val="0"/>
          <w:sz w:val="32"/>
          <w:szCs w:val="32"/>
        </w:rPr>
      </w:pPr>
    </w:p>
    <w:p w:rsidR="000134D4" w:rsidRDefault="000134D4">
      <w:pPr>
        <w:tabs>
          <w:tab w:val="center" w:pos="6979"/>
        </w:tabs>
        <w:spacing w:beforeLines="50" w:before="156" w:afterLines="50" w:after="156"/>
        <w:jc w:val="center"/>
        <w:rPr>
          <w:rFonts w:ascii="宋体" w:hAnsi="宋体" w:cs="宋体"/>
          <w:b/>
          <w:bCs/>
          <w:spacing w:val="40"/>
          <w:kern w:val="0"/>
          <w:sz w:val="32"/>
          <w:szCs w:val="32"/>
        </w:rPr>
      </w:pPr>
    </w:p>
    <w:p w:rsidR="000134D4" w:rsidRDefault="000134D4">
      <w:pPr>
        <w:tabs>
          <w:tab w:val="center" w:pos="6979"/>
        </w:tabs>
        <w:spacing w:beforeLines="50" w:before="156" w:afterLines="50" w:after="156"/>
        <w:jc w:val="center"/>
        <w:rPr>
          <w:rFonts w:ascii="宋体" w:hAnsi="宋体" w:cs="宋体"/>
          <w:b/>
          <w:bCs/>
          <w:spacing w:val="40"/>
          <w:kern w:val="0"/>
          <w:sz w:val="32"/>
          <w:szCs w:val="32"/>
        </w:rPr>
      </w:pPr>
    </w:p>
    <w:p w:rsidR="000134D4" w:rsidRDefault="000A090E">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0134D4" w:rsidRDefault="000A090E">
      <w:pPr>
        <w:pStyle w:val="2"/>
        <w:rPr>
          <w:b w:val="0"/>
          <w:bCs w:val="0"/>
        </w:rPr>
        <w:sectPr w:rsidR="000134D4">
          <w:footerReference w:type="default" r:id="rId6"/>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0134D4" w:rsidRDefault="000A090E">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0134D4" w:rsidRDefault="000A090E">
      <w:pPr>
        <w:tabs>
          <w:tab w:val="center" w:pos="6979"/>
        </w:tabs>
        <w:spacing w:line="580" w:lineRule="exact"/>
        <w:ind w:firstLineChars="296" w:firstLine="832"/>
        <w:rPr>
          <w:rFonts w:ascii="黑体" w:eastAsia="黑体"/>
          <w:b/>
          <w:sz w:val="28"/>
          <w:szCs w:val="28"/>
        </w:rPr>
      </w:pPr>
      <w:r>
        <w:rPr>
          <w:rFonts w:ascii="黑体" w:eastAsia="黑体" w:hint="eastAsia"/>
          <w:b/>
          <w:sz w:val="28"/>
          <w:szCs w:val="28"/>
        </w:rPr>
        <w:t>一、单位基本情况</w:t>
      </w:r>
    </w:p>
    <w:p w:rsidR="000134D4" w:rsidRDefault="000A090E">
      <w:pPr>
        <w:ind w:firstLine="709"/>
        <w:rPr>
          <w:rFonts w:ascii="仿宋_GB2312" w:eastAsia="仿宋_GB2312"/>
          <w:sz w:val="28"/>
          <w:szCs w:val="28"/>
        </w:rPr>
      </w:pPr>
      <w:r>
        <w:rPr>
          <w:rFonts w:ascii="仿宋_GB2312" w:eastAsia="仿宋_GB2312" w:hint="eastAsia"/>
          <w:sz w:val="28"/>
          <w:szCs w:val="28"/>
        </w:rPr>
        <w:t>（一）机构设置</w:t>
      </w:r>
    </w:p>
    <w:p w:rsidR="000134D4" w:rsidRDefault="000A090E">
      <w:pPr>
        <w:ind w:firstLine="709"/>
        <w:rPr>
          <w:rFonts w:ascii="仿宋_GB2312" w:eastAsia="仿宋_GB2312"/>
          <w:sz w:val="28"/>
          <w:szCs w:val="28"/>
        </w:rPr>
      </w:pPr>
      <w:r>
        <w:rPr>
          <w:rFonts w:ascii="仿宋_GB2312" w:eastAsia="仿宋_GB2312" w:hint="eastAsia"/>
          <w:sz w:val="28"/>
          <w:szCs w:val="28"/>
        </w:rPr>
        <w:t>北京市地质环境监测所内设18个部门，办公室、党委办公室、监察审计室、计划财务科、劳动人事科、资产科、安全科、离退休人员管理办公室、总工程师办公室、项目管理办公室、地质环境研究所、动态监测室、水资源研究所、地面沉降研究中心、综合研究室、化验室、信息资料室、工程地质室等。</w:t>
      </w:r>
    </w:p>
    <w:p w:rsidR="000134D4" w:rsidRDefault="000A090E">
      <w:pPr>
        <w:ind w:firstLine="709"/>
        <w:rPr>
          <w:rFonts w:ascii="仿宋_GB2312" w:eastAsia="仿宋_GB2312"/>
          <w:sz w:val="28"/>
          <w:szCs w:val="28"/>
        </w:rPr>
      </w:pPr>
      <w:r>
        <w:rPr>
          <w:rFonts w:ascii="仿宋_GB2312" w:eastAsia="仿宋_GB2312" w:hint="eastAsia"/>
          <w:sz w:val="28"/>
          <w:szCs w:val="28"/>
        </w:rPr>
        <w:t>（二）职责</w:t>
      </w:r>
    </w:p>
    <w:p w:rsidR="000134D4" w:rsidRDefault="000A090E">
      <w:pPr>
        <w:ind w:firstLine="709"/>
      </w:pPr>
      <w:r>
        <w:rPr>
          <w:rFonts w:ascii="仿宋_GB2312" w:eastAsia="仿宋_GB2312" w:hint="eastAsia"/>
          <w:sz w:val="28"/>
          <w:szCs w:val="28"/>
        </w:rPr>
        <w:t>承担本市国土空间生态修复相关地质环境调查、监测、综合研究工作；承担地下水地质环境和地面沉降监测、防控等综合研究工作；承担地面沉降监测网和地下水监测网的建设、运行和管理等事务性工作。</w:t>
      </w:r>
    </w:p>
    <w:p w:rsidR="000134D4" w:rsidRDefault="000A090E">
      <w:pPr>
        <w:tabs>
          <w:tab w:val="center" w:pos="6979"/>
        </w:tabs>
        <w:spacing w:line="580" w:lineRule="exact"/>
        <w:ind w:firstLineChars="200" w:firstLine="643"/>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0134D4" w:rsidRDefault="000A090E">
      <w:pPr>
        <w:ind w:firstLine="709"/>
        <w:rPr>
          <w:rFonts w:ascii="仿宋_GB2312" w:eastAsia="仿宋_GB2312"/>
          <w:sz w:val="28"/>
          <w:szCs w:val="28"/>
        </w:rPr>
      </w:pPr>
      <w:r>
        <w:rPr>
          <w:rFonts w:ascii="仿宋_GB2312" w:eastAsia="仿宋_GB2312" w:hint="eastAsia"/>
          <w:sz w:val="28"/>
          <w:szCs w:val="28"/>
        </w:rPr>
        <w:t>2024年度收、支总计41514.15万元，比上年增加28475.51万元，增长218.39%。</w:t>
      </w:r>
    </w:p>
    <w:p w:rsidR="000134D4" w:rsidRDefault="000A090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0134D4" w:rsidRDefault="000A090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2024年度本年收入合计39168.29万元，比上年增加28298.06万元，增长260.33%。</w:t>
      </w:r>
    </w:p>
    <w:p w:rsidR="000134D4" w:rsidRDefault="000A090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1.财政拨款收入38436.46万元，占收入合计的98.13%。其中：一般公共预算财政拨款收入31417.46万元，占收入合计的80.21%；政府性基金预算财政拨款收入7019.00万元，占收入合计的17.92%；国有资本经营预算财政拨款收</w:t>
      </w:r>
      <w:r>
        <w:rPr>
          <w:rFonts w:ascii="仿宋_GB2312" w:eastAsia="仿宋_GB2312" w:hint="eastAsia"/>
          <w:sz w:val="28"/>
          <w:szCs w:val="28"/>
        </w:rPr>
        <w:lastRenderedPageBreak/>
        <w:t>入0万元，占收入合计的0%；</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731.83</w:t>
      </w:r>
      <w:r>
        <w:rPr>
          <w:rFonts w:ascii="仿宋_GB2312" w:eastAsia="仿宋_GB2312" w:hint="eastAsia"/>
          <w:sz w:val="28"/>
          <w:szCs w:val="28"/>
        </w:rPr>
        <w:t>万元，占收入合计的1.87%。</w:t>
      </w:r>
    </w:p>
    <w:p w:rsidR="000134D4" w:rsidRDefault="000A090E">
      <w:pPr>
        <w:pStyle w:val="2"/>
        <w:jc w:val="center"/>
      </w:pPr>
      <w:r>
        <w:rPr>
          <w:rFonts w:ascii="仿宋_GB2312" w:eastAsia="仿宋_GB2312" w:hint="eastAsia"/>
          <w:color w:val="000000"/>
          <w:sz w:val="32"/>
        </w:rPr>
        <w:t>图1：收入决算</w:t>
      </w:r>
    </w:p>
    <w:p w:rsidR="000134D4" w:rsidRDefault="000A090E">
      <w:pPr>
        <w:pStyle w:val="a3"/>
        <w:ind w:firstLine="420"/>
        <w:jc w:val="center"/>
      </w:pPr>
      <w:r>
        <w:rPr>
          <w:noProof/>
        </w:rPr>
        <w:drawing>
          <wp:inline distT="0" distB="0" distL="0" distR="0">
            <wp:extent cx="4036695" cy="2328545"/>
            <wp:effectExtent l="4445" t="4445" r="16510" b="1016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134D4" w:rsidRDefault="000A090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0134D4" w:rsidRDefault="000A090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33907.86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22475.04万元，增长196.58%，其中：基本支出</w:t>
      </w:r>
      <w:r>
        <w:rPr>
          <w:rFonts w:ascii="仿宋_GB2312" w:eastAsia="仿宋_GB2312"/>
          <w:sz w:val="28"/>
          <w:szCs w:val="28"/>
        </w:rPr>
        <w:t>6687.8</w:t>
      </w:r>
      <w:r>
        <w:rPr>
          <w:rFonts w:ascii="仿宋_GB2312" w:eastAsia="仿宋_GB2312" w:hint="eastAsia"/>
          <w:sz w:val="28"/>
          <w:szCs w:val="28"/>
        </w:rPr>
        <w:t>6万元，</w:t>
      </w:r>
      <w:r>
        <w:rPr>
          <w:rFonts w:ascii="仿宋_GB2312" w:eastAsia="仿宋_GB2312" w:hint="eastAsia"/>
          <w:sz w:val="28"/>
          <w:szCs w:val="28"/>
        </w:rPr>
        <w:lastRenderedPageBreak/>
        <w:t>占支出合计的19.72%；项目支出</w:t>
      </w:r>
      <w:r>
        <w:rPr>
          <w:rFonts w:ascii="仿宋_GB2312" w:eastAsia="仿宋_GB2312"/>
          <w:sz w:val="28"/>
          <w:szCs w:val="28"/>
        </w:rPr>
        <w:t>27220</w:t>
      </w:r>
      <w:r>
        <w:rPr>
          <w:rFonts w:ascii="仿宋_GB2312" w:eastAsia="仿宋_GB2312" w:hint="eastAsia"/>
          <w:sz w:val="28"/>
          <w:szCs w:val="28"/>
        </w:rPr>
        <w:t>.00万元，占支出合计的80.28%;上缴上级支出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0134D4" w:rsidRDefault="000A090E">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0134D4" w:rsidRDefault="000A090E">
      <w:pPr>
        <w:jc w:val="center"/>
        <w:rPr>
          <w:rFonts w:ascii="黑体" w:eastAsia="黑体"/>
          <w:b/>
          <w:sz w:val="28"/>
          <w:szCs w:val="28"/>
        </w:rPr>
      </w:pPr>
      <w:r>
        <w:rPr>
          <w:noProof/>
        </w:rPr>
        <w:drawing>
          <wp:inline distT="0" distB="0" distL="114300" distR="114300">
            <wp:extent cx="4572000" cy="2743200"/>
            <wp:effectExtent l="4445" t="4445" r="14605" b="14605"/>
            <wp:docPr id="3"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134D4" w:rsidRDefault="000A090E">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0134D4" w:rsidRDefault="000A090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38436.46</w:t>
      </w:r>
      <w:r>
        <w:rPr>
          <w:rFonts w:ascii="仿宋_GB2312" w:eastAsia="仿宋_GB2312" w:hint="eastAsia"/>
          <w:sz w:val="28"/>
          <w:szCs w:val="28"/>
        </w:rPr>
        <w:t>万元，比上年</w:t>
      </w:r>
      <w:r>
        <w:rPr>
          <w:rFonts w:ascii="仿宋_GB2312" w:eastAsia="仿宋_GB2312"/>
          <w:sz w:val="28"/>
          <w:szCs w:val="28"/>
        </w:rPr>
        <w:t>增加</w:t>
      </w:r>
      <w:r>
        <w:rPr>
          <w:rFonts w:ascii="仿宋_GB2312" w:eastAsia="仿宋_GB2312" w:hint="eastAsia"/>
          <w:sz w:val="28"/>
          <w:szCs w:val="28"/>
        </w:rPr>
        <w:t>27860.07万元，增长263.42%。主要原因：2024年增加灾害防治、基本建设等工作任务。</w:t>
      </w:r>
    </w:p>
    <w:p w:rsidR="000134D4" w:rsidRDefault="000A090E">
      <w:pPr>
        <w:tabs>
          <w:tab w:val="center" w:pos="6979"/>
        </w:tabs>
        <w:spacing w:line="580" w:lineRule="exact"/>
        <w:ind w:firstLineChars="200" w:firstLine="562"/>
        <w:rPr>
          <w:rFonts w:ascii="黑体" w:eastAsia="黑体"/>
          <w:b/>
          <w:sz w:val="28"/>
          <w:szCs w:val="28"/>
        </w:rPr>
      </w:pPr>
      <w:r>
        <w:rPr>
          <w:rFonts w:ascii="黑体" w:eastAsia="黑体" w:hint="eastAsia"/>
          <w:b/>
          <w:sz w:val="28"/>
          <w:szCs w:val="28"/>
        </w:rPr>
        <w:t>四、一般公共预算财政拨款支出决算情况说明</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lastRenderedPageBreak/>
        <w:t>（一）一般公共预算财政拨款支出决算总体情况</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31415.68万元，主要用于以下方面：教育支出2.00万元，占本年财政拨款支出0.00%；社会保障和就业支出1002.11万元，占本年财政拨款支出3.19%；卫生健康支出359.68万元，占本年财政拨款支出1.15%；自然资源海洋气象等支出8172.89万元，占本年财政拨款支出26.02%,灾害防治及应急管理支出21879.00万元,占本年财政拨款支出69.64%。</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1、“教育支出”（类）2024年度年初预算2.00万元，2024年度决算2.00万元，完成年初预算的100%。其中：</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“进修及培训”（款）2024年度年初预算2.00万元，2024年度决算2.00万元，完成年初预算的100%。</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2、“社会保障和就业支出”（类）2024年度年初预算1036.95万元，2024年度决算1002.11万元，完成年初预算的96.64%。其中：</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“行政事业单位养老支出”（款）2024年度年初预算1036.95万元，2024年度决算1002.11万元，完成年初预算的96.64%。主要原因：2024年离退休人员减少。</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3、“卫生健康支出”（类）2024年度年初预算379.08万元，2024年度决算359.68万元，完成年初预算的94.88%。其中：</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“行政事业单位医疗”（款）2024年度年初预算379.08万元，2024年度决算359.68万元，完成年初预算的94.88%。主要原因：2024年编制内在职人员减少等。</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lastRenderedPageBreak/>
        <w:t>4、“自然资源海洋气象等支出”（类）2024年度年初预算8199.61万元，2024年度决算8172.89万元，完成年初预算的99.67%。其中：</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“自然资源事务”（款）2024年度年初预算8199.61万元，2024年度决算8172.89万元，完成年初预算的99.67%。主要原因：压缩一般性支出等。</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5、“灾害防治及应急管理支出”（类）2024年度年初预算0万元，2024年度决算21879.00万元。其中：</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“自然灾害防治”（款）2024年度年初预算0万元，2024年度决算21879.00万元。主要原因：2024年增加灾害防治工作任务。</w:t>
      </w:r>
    </w:p>
    <w:p w:rsidR="000134D4" w:rsidRDefault="000A090E">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（一）政府性基金预算财政拨款支出决算总体情况</w:t>
      </w:r>
    </w:p>
    <w:p w:rsidR="000134D4" w:rsidRDefault="000A090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2024年度政府性基金预算财政拨款支出1781.55万元，主要用于以下方面：城乡社区支出1781.55万元，占本年财政拨款支出100%。</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（二）政府性基金预算财政拨款支出决算具体情况</w:t>
      </w:r>
    </w:p>
    <w:p w:rsidR="000134D4" w:rsidRDefault="000A090E">
      <w:pPr>
        <w:autoSpaceDE w:val="0"/>
        <w:autoSpaceDN w:val="0"/>
        <w:adjustRightInd w:val="0"/>
        <w:spacing w:line="580" w:lineRule="exact"/>
        <w:ind w:firstLineChars="250" w:firstLine="700"/>
        <w:jc w:val="left"/>
        <w:rPr>
          <w:rFonts w:ascii="仿宋_GB2312" w:eastAsia="仿宋_GB2312"/>
          <w:sz w:val="28"/>
          <w:szCs w:val="28"/>
        </w:rPr>
      </w:pPr>
      <w:r>
        <w:rPr>
          <w:rFonts w:ascii="仿宋_GB2312" w:eastAsia="仿宋_GB2312" w:hint="eastAsia"/>
          <w:sz w:val="28"/>
          <w:szCs w:val="28"/>
        </w:rPr>
        <w:t>1、“城乡社区支出”（类）2024年度年初预算0万元，2024年度决算1781.55万元。其中：</w:t>
      </w:r>
    </w:p>
    <w:p w:rsidR="000134D4" w:rsidRDefault="000A090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“国有土地使用权出让收入安排的支出”（款）2024年度年初预算0万元，2024年度决算1781.55万元。主要原因：2024年增加基本建设工作任务。</w:t>
      </w:r>
    </w:p>
    <w:p w:rsidR="000134D4" w:rsidRDefault="000A090E">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0134D4" w:rsidRDefault="000A090E">
      <w:pPr>
        <w:ind w:firstLineChars="192" w:firstLine="538"/>
        <w:rPr>
          <w:rFonts w:ascii="仿宋_GB2312" w:eastAsia="仿宋_GB2312"/>
          <w:sz w:val="28"/>
          <w:szCs w:val="28"/>
        </w:rPr>
      </w:pPr>
      <w:r>
        <w:rPr>
          <w:rFonts w:ascii="仿宋_GB2312" w:eastAsia="仿宋_GB2312" w:hint="eastAsia"/>
          <w:sz w:val="28"/>
          <w:szCs w:val="28"/>
        </w:rPr>
        <w:lastRenderedPageBreak/>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0134D4" w:rsidRDefault="000A090E">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0134D4" w:rsidRDefault="000A090E">
      <w:pPr>
        <w:tabs>
          <w:tab w:val="center" w:pos="6979"/>
        </w:tabs>
        <w:spacing w:line="580" w:lineRule="exact"/>
        <w:ind w:firstLineChars="196" w:firstLine="549"/>
        <w:rPr>
          <w:rFonts w:ascii="仿宋_GB2312" w:eastAsia="仿宋_GB2312"/>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6496.08</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0134D4" w:rsidRDefault="000134D4">
      <w:pPr>
        <w:pStyle w:val="a3"/>
        <w:ind w:firstLine="420"/>
      </w:pPr>
    </w:p>
    <w:p w:rsidR="00F12C20" w:rsidRDefault="00F12C20">
      <w:pPr>
        <w:tabs>
          <w:tab w:val="center" w:pos="6979"/>
        </w:tabs>
        <w:jc w:val="center"/>
        <w:rPr>
          <w:rFonts w:ascii="宋体" w:hAnsi="宋体" w:cs="宋体"/>
          <w:b/>
          <w:bCs/>
          <w:spacing w:val="40"/>
          <w:kern w:val="0"/>
          <w:sz w:val="32"/>
          <w:szCs w:val="32"/>
        </w:rPr>
      </w:pPr>
    </w:p>
    <w:p w:rsidR="00F12C20" w:rsidRDefault="00F12C20">
      <w:pPr>
        <w:tabs>
          <w:tab w:val="center" w:pos="6979"/>
        </w:tabs>
        <w:jc w:val="center"/>
        <w:rPr>
          <w:rFonts w:ascii="宋体" w:hAnsi="宋体" w:cs="宋体"/>
          <w:b/>
          <w:bCs/>
          <w:spacing w:val="40"/>
          <w:kern w:val="0"/>
          <w:sz w:val="32"/>
          <w:szCs w:val="32"/>
        </w:rPr>
      </w:pPr>
    </w:p>
    <w:p w:rsidR="00F12C20" w:rsidRDefault="00F12C20">
      <w:pPr>
        <w:tabs>
          <w:tab w:val="center" w:pos="6979"/>
        </w:tabs>
        <w:jc w:val="center"/>
        <w:rPr>
          <w:rFonts w:ascii="宋体" w:hAnsi="宋体" w:cs="宋体"/>
          <w:b/>
          <w:bCs/>
          <w:spacing w:val="40"/>
          <w:kern w:val="0"/>
          <w:sz w:val="32"/>
          <w:szCs w:val="32"/>
        </w:rPr>
      </w:pPr>
    </w:p>
    <w:p w:rsidR="00F12C20" w:rsidRDefault="00F12C20">
      <w:pPr>
        <w:tabs>
          <w:tab w:val="center" w:pos="6979"/>
        </w:tabs>
        <w:jc w:val="center"/>
        <w:rPr>
          <w:rFonts w:ascii="宋体" w:hAnsi="宋体" w:cs="宋体"/>
          <w:b/>
          <w:bCs/>
          <w:spacing w:val="40"/>
          <w:kern w:val="0"/>
          <w:sz w:val="32"/>
          <w:szCs w:val="32"/>
        </w:rPr>
      </w:pPr>
    </w:p>
    <w:p w:rsidR="00F12C20" w:rsidRDefault="00F12C20">
      <w:pPr>
        <w:tabs>
          <w:tab w:val="center" w:pos="6979"/>
        </w:tabs>
        <w:jc w:val="center"/>
        <w:rPr>
          <w:rFonts w:ascii="宋体" w:hAnsi="宋体" w:cs="宋体"/>
          <w:b/>
          <w:bCs/>
          <w:spacing w:val="40"/>
          <w:kern w:val="0"/>
          <w:sz w:val="32"/>
          <w:szCs w:val="32"/>
        </w:rPr>
      </w:pPr>
    </w:p>
    <w:p w:rsidR="00F12C20" w:rsidRDefault="00F12C20">
      <w:pPr>
        <w:tabs>
          <w:tab w:val="center" w:pos="6979"/>
        </w:tabs>
        <w:jc w:val="center"/>
        <w:rPr>
          <w:rFonts w:ascii="宋体" w:hAnsi="宋体" w:cs="宋体"/>
          <w:b/>
          <w:bCs/>
          <w:spacing w:val="40"/>
          <w:kern w:val="0"/>
          <w:sz w:val="32"/>
          <w:szCs w:val="32"/>
        </w:rPr>
      </w:pPr>
    </w:p>
    <w:p w:rsidR="00F12C20" w:rsidRDefault="00F12C20">
      <w:pPr>
        <w:tabs>
          <w:tab w:val="center" w:pos="6979"/>
        </w:tabs>
        <w:jc w:val="center"/>
        <w:rPr>
          <w:rFonts w:ascii="宋体" w:hAnsi="宋体" w:cs="宋体"/>
          <w:b/>
          <w:bCs/>
          <w:spacing w:val="40"/>
          <w:kern w:val="0"/>
          <w:sz w:val="32"/>
          <w:szCs w:val="32"/>
        </w:rPr>
      </w:pPr>
    </w:p>
    <w:p w:rsidR="000134D4" w:rsidRDefault="000A090E">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0134D4" w:rsidRDefault="000A090E">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0134D4" w:rsidRDefault="000A090E">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2024年度“三公”经费财政拨款决算数4.50万元，与2024年度“三公”经费财政拨款年初预算4.50万元持平。其中：</w:t>
      </w:r>
    </w:p>
    <w:p w:rsidR="000134D4" w:rsidRDefault="000A090E">
      <w:pPr>
        <w:spacing w:line="560" w:lineRule="exact"/>
        <w:ind w:firstLine="600"/>
        <w:rPr>
          <w:rFonts w:ascii="仿宋_GB2312" w:eastAsia="仿宋_GB2312"/>
          <w:sz w:val="28"/>
          <w:szCs w:val="28"/>
        </w:rPr>
      </w:pPr>
      <w:r>
        <w:rPr>
          <w:rFonts w:ascii="仿宋_GB2312" w:eastAsia="仿宋_GB2312" w:hint="eastAsia"/>
          <w:sz w:val="28"/>
          <w:szCs w:val="28"/>
        </w:rPr>
        <w:t>1.因公出国（境）费用。本单位无此项支出。</w:t>
      </w:r>
    </w:p>
    <w:p w:rsidR="000134D4" w:rsidRDefault="000A090E">
      <w:pPr>
        <w:spacing w:line="560" w:lineRule="exact"/>
        <w:ind w:firstLine="600"/>
        <w:rPr>
          <w:rFonts w:ascii="仿宋_GB2312" w:eastAsia="仿宋_GB2312"/>
          <w:sz w:val="28"/>
          <w:szCs w:val="28"/>
        </w:rPr>
      </w:pPr>
      <w:r>
        <w:rPr>
          <w:rFonts w:ascii="仿宋_GB2312" w:eastAsia="仿宋_GB2312" w:hint="eastAsia"/>
          <w:sz w:val="28"/>
          <w:szCs w:val="28"/>
        </w:rPr>
        <w:t>2.公务接待费。本单位无此项支出。</w:t>
      </w:r>
    </w:p>
    <w:p w:rsidR="000134D4" w:rsidRDefault="000A090E">
      <w:pPr>
        <w:spacing w:line="560" w:lineRule="exact"/>
        <w:ind w:firstLine="600"/>
        <w:rPr>
          <w:rFonts w:ascii="仿宋_GB2312" w:eastAsia="仿宋_GB2312"/>
          <w:sz w:val="28"/>
          <w:szCs w:val="28"/>
        </w:rPr>
      </w:pPr>
      <w:r>
        <w:rPr>
          <w:rFonts w:ascii="仿宋_GB2312" w:eastAsia="仿宋_GB2312" w:hint="eastAsia"/>
          <w:sz w:val="28"/>
          <w:szCs w:val="28"/>
        </w:rPr>
        <w:t>3.公务用车购置及运行维护费。2024年度决算数4.50万元，与2024年度年初预算数4.50万元持平。其中，公务用车购置费2024年度决算数0万元，2024年度购置（更新）0辆。公务用车运行维护费2024年度决算数4.50万元。2024年度公务用车保有量4辆。</w:t>
      </w:r>
    </w:p>
    <w:p w:rsidR="000134D4" w:rsidRDefault="000A090E">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0134D4" w:rsidRDefault="000A090E">
      <w:pPr>
        <w:ind w:firstLineChars="192" w:firstLine="538"/>
        <w:rPr>
          <w:rFonts w:ascii="仿宋_GB2312" w:eastAsia="仿宋_GB2312"/>
          <w:sz w:val="28"/>
          <w:szCs w:val="28"/>
        </w:rPr>
      </w:pPr>
      <w:r>
        <w:rPr>
          <w:rFonts w:ascii="仿宋_GB2312" w:eastAsia="仿宋_GB2312" w:hint="eastAsia"/>
          <w:sz w:val="28"/>
          <w:szCs w:val="28"/>
        </w:rPr>
        <w:t>我单位不在机关运行经费统计范围之内。</w:t>
      </w:r>
    </w:p>
    <w:p w:rsidR="000134D4" w:rsidRDefault="000A090E">
      <w:pPr>
        <w:ind w:left="540"/>
        <w:rPr>
          <w:rFonts w:ascii="黑体" w:eastAsia="黑体"/>
          <w:sz w:val="28"/>
          <w:szCs w:val="28"/>
        </w:rPr>
      </w:pPr>
      <w:r>
        <w:rPr>
          <w:rFonts w:ascii="黑体" w:eastAsia="黑体" w:hint="eastAsia"/>
          <w:sz w:val="28"/>
          <w:szCs w:val="28"/>
        </w:rPr>
        <w:t>三、政府采购支出情况</w:t>
      </w:r>
    </w:p>
    <w:p w:rsidR="000134D4" w:rsidRDefault="000A090E">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2062.55</w:t>
      </w:r>
      <w:r>
        <w:rPr>
          <w:rFonts w:ascii="仿宋_GB2312" w:eastAsia="仿宋_GB2312" w:hint="eastAsia"/>
          <w:sz w:val="28"/>
          <w:szCs w:val="28"/>
        </w:rPr>
        <w:t>万元，其中：政府采购货物支出</w:t>
      </w:r>
      <w:r>
        <w:rPr>
          <w:rFonts w:ascii="仿宋_GB2312" w:eastAsia="仿宋_GB2312"/>
          <w:sz w:val="28"/>
          <w:szCs w:val="28"/>
        </w:rPr>
        <w:t>502.91</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1559.64</w:t>
      </w:r>
      <w:r>
        <w:rPr>
          <w:rFonts w:ascii="仿宋_GB2312" w:eastAsia="仿宋_GB2312" w:hint="eastAsia"/>
          <w:sz w:val="28"/>
          <w:szCs w:val="28"/>
        </w:rPr>
        <w:t>万元。授予中小企业合同金额</w:t>
      </w:r>
      <w:r>
        <w:rPr>
          <w:rFonts w:ascii="仿宋_GB2312" w:eastAsia="仿宋_GB2312"/>
          <w:sz w:val="28"/>
          <w:szCs w:val="28"/>
        </w:rPr>
        <w:t>917.67</w:t>
      </w:r>
      <w:r>
        <w:rPr>
          <w:rFonts w:ascii="仿宋_GB2312" w:eastAsia="仿宋_GB2312" w:hint="eastAsia"/>
          <w:sz w:val="28"/>
          <w:szCs w:val="28"/>
        </w:rPr>
        <w:t>万元，占政府采购支出总额的44.49%，其中：授予小微企业合同金额</w:t>
      </w:r>
      <w:r>
        <w:rPr>
          <w:rFonts w:ascii="仿宋_GB2312" w:eastAsia="仿宋_GB2312"/>
          <w:sz w:val="28"/>
          <w:szCs w:val="28"/>
        </w:rPr>
        <w:t>178.92</w:t>
      </w:r>
      <w:r>
        <w:rPr>
          <w:rFonts w:ascii="仿宋_GB2312" w:eastAsia="仿宋_GB2312" w:hint="eastAsia"/>
          <w:sz w:val="28"/>
          <w:szCs w:val="28"/>
        </w:rPr>
        <w:t>万元，占政府采购支出总额的</w:t>
      </w:r>
      <w:r>
        <w:rPr>
          <w:rFonts w:ascii="仿宋_GB2312" w:eastAsia="仿宋_GB2312"/>
          <w:sz w:val="28"/>
          <w:szCs w:val="28"/>
        </w:rPr>
        <w:t>8.67</w:t>
      </w:r>
      <w:r>
        <w:rPr>
          <w:rFonts w:ascii="仿宋_GB2312" w:eastAsia="仿宋_GB2312" w:hint="eastAsia"/>
          <w:sz w:val="28"/>
          <w:szCs w:val="28"/>
        </w:rPr>
        <w:t>%。</w:t>
      </w:r>
    </w:p>
    <w:p w:rsidR="000134D4" w:rsidRDefault="000A090E">
      <w:pPr>
        <w:ind w:firstLineChars="200" w:firstLine="560"/>
        <w:rPr>
          <w:rFonts w:ascii="黑体" w:eastAsia="黑体"/>
          <w:sz w:val="28"/>
          <w:szCs w:val="28"/>
          <w:highlight w:val="yellow"/>
        </w:rPr>
      </w:pPr>
      <w:r>
        <w:rPr>
          <w:rFonts w:ascii="黑体" w:eastAsia="黑体" w:hint="eastAsia"/>
          <w:sz w:val="28"/>
          <w:szCs w:val="28"/>
        </w:rPr>
        <w:lastRenderedPageBreak/>
        <w:t>四、国有资产占用情况</w:t>
      </w:r>
    </w:p>
    <w:p w:rsidR="000134D4" w:rsidRDefault="000A090E">
      <w:pPr>
        <w:ind w:firstLineChars="200" w:firstLine="560"/>
        <w:rPr>
          <w:rFonts w:ascii="仿宋_GB2312" w:eastAsia="仿宋_GB2312"/>
          <w:sz w:val="32"/>
          <w:szCs w:val="32"/>
        </w:rPr>
      </w:pPr>
      <w:r>
        <w:rPr>
          <w:rFonts w:ascii="仿宋_GB2312" w:eastAsia="仿宋_GB2312" w:hint="eastAsia"/>
          <w:sz w:val="28"/>
          <w:szCs w:val="28"/>
        </w:rPr>
        <w:t>截至12月31日，北京市地质环境监测所共有车辆4台；单位价值100万元（含）以上的设备10台（套）。</w:t>
      </w:r>
    </w:p>
    <w:p w:rsidR="000134D4" w:rsidRDefault="000A090E">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0134D4" w:rsidRDefault="000A090E">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0134D4" w:rsidRDefault="000A090E">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F12C20" w:rsidRPr="00F12C20" w:rsidRDefault="00F12C20" w:rsidP="00F12C20">
      <w:pPr>
        <w:ind w:firstLineChars="200" w:firstLine="560"/>
        <w:rPr>
          <w:rFonts w:ascii="仿宋_GB2312" w:eastAsia="仿宋_GB2312"/>
          <w:sz w:val="28"/>
          <w:szCs w:val="28"/>
        </w:rPr>
      </w:pPr>
      <w:r w:rsidRPr="00F12C20">
        <w:rPr>
          <w:rFonts w:ascii="仿宋_GB2312" w:eastAsia="仿宋_GB2312" w:hint="eastAsia"/>
          <w:sz w:val="28"/>
          <w:szCs w:val="28"/>
        </w:rPr>
        <w:t>1.基本支出：指为保障机构正常运转、完成日常工作任务而发生的人员支出和公用支出。</w:t>
      </w:r>
    </w:p>
    <w:p w:rsidR="00F12C20" w:rsidRPr="00F12C20" w:rsidRDefault="00F12C20" w:rsidP="00F12C20">
      <w:pPr>
        <w:ind w:firstLineChars="200" w:firstLine="560"/>
        <w:rPr>
          <w:rFonts w:ascii="仿宋_GB2312" w:eastAsia="仿宋_GB2312"/>
          <w:sz w:val="28"/>
          <w:szCs w:val="28"/>
        </w:rPr>
      </w:pPr>
      <w:r w:rsidRPr="00F12C20">
        <w:rPr>
          <w:rFonts w:ascii="仿宋_GB2312" w:eastAsia="仿宋_GB2312" w:hint="eastAsia"/>
          <w:sz w:val="28"/>
          <w:szCs w:val="28"/>
        </w:rPr>
        <w:t>2.项目支出：指在基本支出之外为完成特定行政任务或事业发展目标所发生的支出。</w:t>
      </w:r>
    </w:p>
    <w:p w:rsidR="00F12C20" w:rsidRPr="00F12C20" w:rsidRDefault="00F12C20" w:rsidP="00F12C20">
      <w:pPr>
        <w:ind w:firstLineChars="200" w:firstLine="560"/>
        <w:rPr>
          <w:rFonts w:ascii="仿宋_GB2312" w:eastAsia="仿宋_GB2312"/>
          <w:sz w:val="28"/>
          <w:szCs w:val="28"/>
        </w:rPr>
      </w:pPr>
      <w:r w:rsidRPr="00F12C20">
        <w:rPr>
          <w:rFonts w:ascii="仿宋_GB2312" w:eastAsia="仿宋_GB2312" w:hint="eastAsia"/>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F12C20" w:rsidRPr="00F12C20" w:rsidRDefault="00F12C20" w:rsidP="00F12C20">
      <w:pPr>
        <w:ind w:firstLineChars="200" w:firstLine="560"/>
        <w:rPr>
          <w:rFonts w:ascii="仿宋_GB2312" w:eastAsia="仿宋_GB2312"/>
          <w:sz w:val="28"/>
          <w:szCs w:val="28"/>
        </w:rPr>
      </w:pPr>
      <w:r w:rsidRPr="00F12C20">
        <w:rPr>
          <w:rFonts w:ascii="仿宋_GB2312" w:eastAsia="仿宋_GB2312" w:hint="eastAsia"/>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F12C20" w:rsidRPr="00F12C20" w:rsidRDefault="00F12C20" w:rsidP="00F12C20">
      <w:pPr>
        <w:ind w:firstLineChars="200" w:firstLine="560"/>
        <w:rPr>
          <w:rFonts w:ascii="仿宋_GB2312" w:eastAsia="仿宋_GB2312"/>
          <w:sz w:val="28"/>
          <w:szCs w:val="28"/>
        </w:rPr>
      </w:pPr>
      <w:r w:rsidRPr="00F12C20">
        <w:rPr>
          <w:rFonts w:ascii="仿宋_GB2312" w:eastAsia="仿宋_GB2312" w:hint="eastAsia"/>
          <w:sz w:val="28"/>
          <w:szCs w:val="28"/>
        </w:rPr>
        <w:t>5.政府采购：指各级国家机关、事业单位和团体组织，使用财政性资金采购依法制定的集中目录以内的或者采购限</w:t>
      </w:r>
      <w:r w:rsidRPr="00F12C20">
        <w:rPr>
          <w:rFonts w:ascii="仿宋_GB2312" w:eastAsia="仿宋_GB2312" w:hint="eastAsia"/>
          <w:sz w:val="28"/>
          <w:szCs w:val="28"/>
        </w:rPr>
        <w:lastRenderedPageBreak/>
        <w:t>额标准以上的货物、工程和服务的行为，是规范财政支出管理和强化预算约束的有效措施。</w:t>
      </w:r>
    </w:p>
    <w:p w:rsidR="00F12C20" w:rsidRPr="00F12C20" w:rsidRDefault="00F12C20" w:rsidP="00F12C20">
      <w:pPr>
        <w:ind w:firstLineChars="200" w:firstLine="560"/>
        <w:rPr>
          <w:rFonts w:ascii="仿宋_GB2312" w:eastAsia="仿宋_GB2312"/>
          <w:sz w:val="28"/>
          <w:szCs w:val="28"/>
        </w:rPr>
      </w:pPr>
      <w:r w:rsidRPr="00F12C20">
        <w:rPr>
          <w:rFonts w:ascii="仿宋_GB2312" w:eastAsia="仿宋_GB2312" w:hint="eastAsia"/>
          <w:sz w:val="28"/>
          <w:szCs w:val="28"/>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C578A8" w:rsidRDefault="00C578A8" w:rsidP="00C578A8">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C578A8" w:rsidRDefault="00C578A8" w:rsidP="00C578A8">
      <w:pPr>
        <w:ind w:firstLineChars="200" w:firstLine="560"/>
        <w:rPr>
          <w:rFonts w:ascii="仿宋_GB2312" w:eastAsia="仿宋_GB2312"/>
          <w:sz w:val="28"/>
          <w:szCs w:val="28"/>
        </w:rPr>
      </w:pPr>
      <w:r w:rsidRPr="00724FC0">
        <w:rPr>
          <w:rFonts w:ascii="仿宋_GB2312" w:eastAsia="仿宋_GB2312" w:hint="eastAsia"/>
          <w:sz w:val="28"/>
          <w:szCs w:val="28"/>
        </w:rPr>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C578A8" w:rsidRDefault="00C578A8" w:rsidP="00C578A8">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C578A8" w:rsidRDefault="00C578A8" w:rsidP="00C578A8">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C578A8" w:rsidRDefault="00C578A8" w:rsidP="00C578A8">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C578A8" w:rsidRDefault="00C578A8" w:rsidP="00C578A8">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：反映自然资源部门用于自然资源调查监测评价，自然资源统一确权登记等方面的支出。</w:t>
      </w:r>
    </w:p>
    <w:p w:rsidR="00C578A8" w:rsidRDefault="00C578A8" w:rsidP="00C578A8">
      <w:pPr>
        <w:ind w:firstLineChars="200" w:firstLine="560"/>
        <w:rPr>
          <w:rFonts w:ascii="仿宋_GB2312" w:eastAsia="仿宋_GB2312"/>
          <w:sz w:val="28"/>
          <w:szCs w:val="28"/>
        </w:rPr>
      </w:pPr>
      <w:r w:rsidRPr="004905F8">
        <w:rPr>
          <w:rFonts w:ascii="仿宋_GB2312" w:eastAsia="仿宋_GB2312" w:hint="eastAsia"/>
          <w:sz w:val="28"/>
          <w:szCs w:val="28"/>
        </w:rPr>
        <w:lastRenderedPageBreak/>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C578A8" w:rsidRDefault="00C578A8" w:rsidP="00C578A8">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0134D4" w:rsidRDefault="00C578A8" w:rsidP="00C578A8">
      <w:pPr>
        <w:ind w:firstLineChars="200" w:firstLine="56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0134D4" w:rsidRDefault="000134D4">
      <w:pPr>
        <w:ind w:firstLineChars="200" w:firstLine="560"/>
        <w:rPr>
          <w:rFonts w:ascii="仿宋_GB2312" w:eastAsia="仿宋_GB2312"/>
          <w:sz w:val="28"/>
          <w:szCs w:val="28"/>
        </w:rPr>
      </w:pPr>
    </w:p>
    <w:p w:rsidR="000134D4" w:rsidRDefault="000134D4">
      <w:pPr>
        <w:pStyle w:val="a3"/>
        <w:ind w:firstLine="640"/>
        <w:rPr>
          <w:rFonts w:ascii="黑体" w:eastAsia="黑体"/>
          <w:sz w:val="32"/>
          <w:szCs w:val="32"/>
        </w:rPr>
      </w:pPr>
    </w:p>
    <w:p w:rsidR="00F12C20" w:rsidRDefault="00F12C20">
      <w:pPr>
        <w:ind w:firstLineChars="200" w:firstLine="640"/>
        <w:jc w:val="center"/>
        <w:rPr>
          <w:rFonts w:ascii="黑体" w:eastAsia="黑体"/>
          <w:sz w:val="32"/>
          <w:szCs w:val="32"/>
        </w:rPr>
      </w:pPr>
    </w:p>
    <w:p w:rsidR="00F12C20" w:rsidRDefault="00F12C20">
      <w:pPr>
        <w:ind w:firstLineChars="200" w:firstLine="640"/>
        <w:jc w:val="center"/>
        <w:rPr>
          <w:rFonts w:ascii="黑体" w:eastAsia="黑体"/>
          <w:sz w:val="32"/>
          <w:szCs w:val="32"/>
        </w:rPr>
      </w:pPr>
    </w:p>
    <w:p w:rsidR="00F12C20" w:rsidRDefault="00F12C20">
      <w:pPr>
        <w:ind w:firstLineChars="200" w:firstLine="640"/>
        <w:jc w:val="center"/>
        <w:rPr>
          <w:rFonts w:ascii="黑体" w:eastAsia="黑体"/>
          <w:sz w:val="32"/>
          <w:szCs w:val="32"/>
        </w:rPr>
      </w:pPr>
    </w:p>
    <w:p w:rsidR="00F12C20" w:rsidRDefault="00F12C20">
      <w:pPr>
        <w:ind w:firstLineChars="200" w:firstLine="640"/>
        <w:jc w:val="center"/>
        <w:rPr>
          <w:rFonts w:ascii="黑体" w:eastAsia="黑体"/>
          <w:sz w:val="32"/>
          <w:szCs w:val="32"/>
        </w:rPr>
      </w:pPr>
    </w:p>
    <w:p w:rsidR="00F12C20" w:rsidRDefault="00F12C20">
      <w:pPr>
        <w:ind w:firstLineChars="200" w:firstLine="640"/>
        <w:jc w:val="center"/>
        <w:rPr>
          <w:rFonts w:ascii="黑体" w:eastAsia="黑体"/>
          <w:sz w:val="32"/>
          <w:szCs w:val="32"/>
        </w:rPr>
      </w:pPr>
    </w:p>
    <w:p w:rsidR="00F12C20" w:rsidRDefault="00F12C20">
      <w:pPr>
        <w:ind w:firstLineChars="200" w:firstLine="640"/>
        <w:jc w:val="center"/>
        <w:rPr>
          <w:rFonts w:ascii="黑体" w:eastAsia="黑体"/>
          <w:sz w:val="32"/>
          <w:szCs w:val="32"/>
        </w:rPr>
      </w:pPr>
      <w:bookmarkStart w:id="0" w:name="_GoBack"/>
      <w:bookmarkEnd w:id="0"/>
    </w:p>
    <w:p w:rsidR="00F12C20" w:rsidRDefault="00F12C20">
      <w:pPr>
        <w:ind w:firstLineChars="200" w:firstLine="640"/>
        <w:jc w:val="center"/>
        <w:rPr>
          <w:rFonts w:ascii="黑体" w:eastAsia="黑体"/>
          <w:sz w:val="32"/>
          <w:szCs w:val="32"/>
        </w:rPr>
      </w:pPr>
    </w:p>
    <w:p w:rsidR="00F12C20" w:rsidRDefault="00F12C20">
      <w:pPr>
        <w:ind w:firstLineChars="200" w:firstLine="640"/>
        <w:jc w:val="center"/>
        <w:rPr>
          <w:rFonts w:ascii="黑体" w:eastAsia="黑体"/>
          <w:sz w:val="32"/>
          <w:szCs w:val="32"/>
        </w:rPr>
      </w:pPr>
    </w:p>
    <w:p w:rsidR="000134D4" w:rsidRDefault="000A090E">
      <w:pPr>
        <w:ind w:firstLineChars="200" w:firstLine="640"/>
        <w:jc w:val="center"/>
        <w:rPr>
          <w:rFonts w:ascii="黑体" w:eastAsia="黑体"/>
          <w:sz w:val="32"/>
          <w:szCs w:val="32"/>
        </w:rPr>
      </w:pPr>
      <w:r>
        <w:rPr>
          <w:rFonts w:ascii="黑体" w:eastAsia="黑体" w:hint="eastAsia"/>
          <w:sz w:val="32"/>
          <w:szCs w:val="32"/>
        </w:rPr>
        <w:t>第四部分  2024年度单位绩效评价情况</w:t>
      </w:r>
    </w:p>
    <w:p w:rsidR="000134D4" w:rsidRDefault="000134D4">
      <w:pPr>
        <w:ind w:firstLineChars="200" w:firstLine="560"/>
        <w:rPr>
          <w:rFonts w:ascii="黑体" w:eastAsia="黑体"/>
          <w:sz w:val="28"/>
          <w:szCs w:val="28"/>
          <w:highlight w:val="yellow"/>
        </w:rPr>
      </w:pPr>
    </w:p>
    <w:p w:rsidR="000134D4" w:rsidRDefault="000A090E">
      <w:pPr>
        <w:ind w:firstLineChars="200" w:firstLine="560"/>
        <w:rPr>
          <w:rFonts w:ascii="黑体" w:eastAsia="黑体"/>
          <w:sz w:val="28"/>
          <w:szCs w:val="28"/>
        </w:rPr>
      </w:pPr>
      <w:r>
        <w:rPr>
          <w:rFonts w:ascii="黑体" w:eastAsia="黑体" w:hint="eastAsia"/>
          <w:sz w:val="28"/>
          <w:szCs w:val="28"/>
        </w:rPr>
        <w:t>一、项目支出绩效自评表</w:t>
      </w:r>
    </w:p>
    <w:p w:rsidR="000134D4" w:rsidRDefault="000A090E">
      <w:pPr>
        <w:ind w:firstLineChars="200" w:firstLine="560"/>
        <w:rPr>
          <w:rFonts w:ascii="仿宋_GB2312" w:eastAsia="仿宋_GB2312"/>
          <w:sz w:val="28"/>
          <w:szCs w:val="28"/>
        </w:rPr>
      </w:pPr>
      <w:r>
        <w:rPr>
          <w:rFonts w:ascii="仿宋_GB2312" w:eastAsia="仿宋_GB2312" w:hint="eastAsia"/>
          <w:sz w:val="28"/>
          <w:szCs w:val="28"/>
        </w:rPr>
        <w:t>项目支出绩效自评表详见附件。</w:t>
      </w:r>
    </w:p>
    <w:p w:rsidR="000134D4" w:rsidRDefault="000134D4">
      <w:pPr>
        <w:spacing w:line="480" w:lineRule="exact"/>
        <w:rPr>
          <w:rFonts w:ascii="仿宋_GB2312" w:eastAsia="仿宋_GB2312" w:hAnsi="仿宋_GB2312" w:cs="仿宋_GB2312"/>
          <w:sz w:val="32"/>
          <w:szCs w:val="32"/>
        </w:rPr>
      </w:pPr>
    </w:p>
    <w:p w:rsidR="000134D4" w:rsidRDefault="000134D4">
      <w:pPr>
        <w:spacing w:line="480" w:lineRule="exact"/>
      </w:pPr>
    </w:p>
    <w:sectPr w:rsidR="000134D4">
      <w:footerReference w:type="even" r:id="rId9"/>
      <w:footerReference w:type="default" r:id="rId10"/>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618" w:rsidRDefault="00280618">
      <w:r>
        <w:separator/>
      </w:r>
    </w:p>
  </w:endnote>
  <w:endnote w:type="continuationSeparator" w:id="0">
    <w:p w:rsidR="00280618" w:rsidRDefault="0028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D4" w:rsidRDefault="000A090E">
    <w:pPr>
      <w:pStyle w:val="a7"/>
      <w:framePr w:wrap="around" w:vAnchor="text" w:hAnchor="margin" w:xAlign="center" w:y="1"/>
      <w:rPr>
        <w:rStyle w:val="ab"/>
      </w:rPr>
    </w:pPr>
    <w:r>
      <w:fldChar w:fldCharType="begin"/>
    </w:r>
    <w:r>
      <w:rPr>
        <w:rStyle w:val="ab"/>
      </w:rPr>
      <w:instrText xml:space="preserve">PAGE  </w:instrText>
    </w:r>
    <w:r>
      <w:fldChar w:fldCharType="separate"/>
    </w:r>
    <w:r w:rsidR="00C578A8">
      <w:rPr>
        <w:rStyle w:val="ab"/>
        <w:noProof/>
      </w:rPr>
      <w:t>3</w:t>
    </w:r>
    <w:r>
      <w:fldChar w:fldCharType="end"/>
    </w:r>
  </w:p>
  <w:p w:rsidR="000134D4" w:rsidRDefault="000134D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D4" w:rsidRDefault="000A090E">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0134D4" w:rsidRDefault="000134D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D4" w:rsidRDefault="000A090E">
    <w:pPr>
      <w:pStyle w:val="a7"/>
      <w:framePr w:wrap="around" w:vAnchor="text" w:hAnchor="margin" w:xAlign="center" w:y="1"/>
      <w:rPr>
        <w:rStyle w:val="ab"/>
      </w:rPr>
    </w:pPr>
    <w:r>
      <w:fldChar w:fldCharType="begin"/>
    </w:r>
    <w:r>
      <w:rPr>
        <w:rStyle w:val="ab"/>
      </w:rPr>
      <w:instrText xml:space="preserve">PAGE  </w:instrText>
    </w:r>
    <w:r>
      <w:fldChar w:fldCharType="separate"/>
    </w:r>
    <w:r w:rsidR="00C578A8">
      <w:rPr>
        <w:rStyle w:val="ab"/>
        <w:noProof/>
      </w:rPr>
      <w:t>9</w:t>
    </w:r>
    <w:r>
      <w:fldChar w:fldCharType="end"/>
    </w:r>
  </w:p>
  <w:p w:rsidR="000134D4" w:rsidRDefault="000134D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618" w:rsidRDefault="00280618">
      <w:r>
        <w:separator/>
      </w:r>
    </w:p>
  </w:footnote>
  <w:footnote w:type="continuationSeparator" w:id="0">
    <w:p w:rsidR="00280618" w:rsidRDefault="002806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8B7ABEA"/>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134D4"/>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090E"/>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618"/>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060F"/>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506"/>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8A8"/>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8740D"/>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2C20"/>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1568E4"/>
    <w:rsid w:val="079004AC"/>
    <w:rsid w:val="0BA148CA"/>
    <w:rsid w:val="0C1165C4"/>
    <w:rsid w:val="0D6D544B"/>
    <w:rsid w:val="0DD136FE"/>
    <w:rsid w:val="0F8E2C57"/>
    <w:rsid w:val="1059665E"/>
    <w:rsid w:val="10AC13BA"/>
    <w:rsid w:val="11FA7305"/>
    <w:rsid w:val="145A6C1B"/>
    <w:rsid w:val="14B73493"/>
    <w:rsid w:val="15A62FA5"/>
    <w:rsid w:val="167A2FF9"/>
    <w:rsid w:val="18581C69"/>
    <w:rsid w:val="1AEC0734"/>
    <w:rsid w:val="1D20150B"/>
    <w:rsid w:val="1DEF20B0"/>
    <w:rsid w:val="1E26477C"/>
    <w:rsid w:val="214243FA"/>
    <w:rsid w:val="21AD613C"/>
    <w:rsid w:val="22467189"/>
    <w:rsid w:val="257A14F5"/>
    <w:rsid w:val="27196C26"/>
    <w:rsid w:val="29EF086F"/>
    <w:rsid w:val="2EFFE297"/>
    <w:rsid w:val="301437CA"/>
    <w:rsid w:val="31255112"/>
    <w:rsid w:val="33E10EBA"/>
    <w:rsid w:val="349D1F0A"/>
    <w:rsid w:val="34DD0473"/>
    <w:rsid w:val="350F3D9C"/>
    <w:rsid w:val="3A8338A9"/>
    <w:rsid w:val="3BE94678"/>
    <w:rsid w:val="3C684897"/>
    <w:rsid w:val="3E3B7B84"/>
    <w:rsid w:val="433E495C"/>
    <w:rsid w:val="489F2FD7"/>
    <w:rsid w:val="4AC27CB3"/>
    <w:rsid w:val="4BF72BEF"/>
    <w:rsid w:val="4FA90297"/>
    <w:rsid w:val="4FC41A43"/>
    <w:rsid w:val="50EA52AF"/>
    <w:rsid w:val="51DB3C59"/>
    <w:rsid w:val="533B56AA"/>
    <w:rsid w:val="550C0952"/>
    <w:rsid w:val="55762E42"/>
    <w:rsid w:val="57A7B272"/>
    <w:rsid w:val="58470068"/>
    <w:rsid w:val="585D4E33"/>
    <w:rsid w:val="58747CAC"/>
    <w:rsid w:val="5A1720F9"/>
    <w:rsid w:val="5B9C37C2"/>
    <w:rsid w:val="5BA7C654"/>
    <w:rsid w:val="5CD04529"/>
    <w:rsid w:val="5F7F378C"/>
    <w:rsid w:val="60A54109"/>
    <w:rsid w:val="61D01CDF"/>
    <w:rsid w:val="62F435E7"/>
    <w:rsid w:val="64C0607C"/>
    <w:rsid w:val="65756C86"/>
    <w:rsid w:val="674D385B"/>
    <w:rsid w:val="676F09E1"/>
    <w:rsid w:val="67FC0AA6"/>
    <w:rsid w:val="6A483A81"/>
    <w:rsid w:val="6AD93CCF"/>
    <w:rsid w:val="6CFC5A53"/>
    <w:rsid w:val="6DFF23B6"/>
    <w:rsid w:val="6F795A80"/>
    <w:rsid w:val="70013958"/>
    <w:rsid w:val="708C672C"/>
    <w:rsid w:val="71A62431"/>
    <w:rsid w:val="7357290B"/>
    <w:rsid w:val="78651FA8"/>
    <w:rsid w:val="798524E4"/>
    <w:rsid w:val="7A7F1C49"/>
    <w:rsid w:val="7AFFCADC"/>
    <w:rsid w:val="7B5B7AE6"/>
    <w:rsid w:val="7B7B6628"/>
    <w:rsid w:val="7BA7071E"/>
    <w:rsid w:val="7BDF6DA8"/>
    <w:rsid w:val="7C7EDC1A"/>
    <w:rsid w:val="7CCED98D"/>
    <w:rsid w:val="7D08410F"/>
    <w:rsid w:val="7DB96DED"/>
    <w:rsid w:val="7DD3AD81"/>
    <w:rsid w:val="7DDA1460"/>
    <w:rsid w:val="7F7FE70F"/>
    <w:rsid w:val="7FBF7B03"/>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B05E8C-92EF-4AF0-A892-1475FF82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webSettings" Target="web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p>
        </c:rich>
      </c:tx>
      <c:overlay val="0"/>
    </c:title>
    <c:autoTitleDeleted val="0"/>
    <c:plotArea>
      <c:layout>
        <c:manualLayout>
          <c:layoutTarget val="inner"/>
          <c:xMode val="edge"/>
          <c:yMode val="edge"/>
          <c:x val="0.184536731162498"/>
          <c:y val="0.24709571857103901"/>
          <c:w val="0.37168475696083098"/>
          <c:h val="0.644341423506954"/>
        </c:manualLayout>
      </c:layout>
      <c:pieChart>
        <c:varyColors val="1"/>
        <c:ser>
          <c:idx val="0"/>
          <c:order val="0"/>
          <c:tx>
            <c:strRef>
              <c:f>Sheet1!$B$1</c:f>
              <c:strCache>
                <c:ptCount val="1"/>
                <c:pt idx="0">
                  <c:v>收入</c:v>
                </c:pt>
              </c:strCache>
            </c:strRef>
          </c:tx>
          <c:dPt>
            <c:idx val="0"/>
            <c:bubble3D val="0"/>
          </c:dPt>
          <c:dPt>
            <c:idx val="1"/>
            <c:bubble3D val="0"/>
          </c:dPt>
          <c:dPt>
            <c:idx val="2"/>
            <c:bubble3D val="0"/>
          </c:dPt>
          <c:dPt>
            <c:idx val="3"/>
            <c:bubble3D val="0"/>
          </c:dPt>
          <c:dPt>
            <c:idx val="4"/>
            <c:bubble3D val="0"/>
          </c:dPt>
          <c:dPt>
            <c:idx val="5"/>
            <c:bubble3D val="0"/>
          </c:dPt>
          <c:dLbls>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layout>
                <c:manualLayout>
                  <c:x val="2.2975785814883999E-2"/>
                  <c:y val="-7.6230842444599796E-3"/>
                </c:manualLayout>
              </c:layout>
              <c:dLblPos val="bestFit"/>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38436.46</c:v>
                </c:pt>
                <c:pt idx="1">
                  <c:v>0</c:v>
                </c:pt>
                <c:pt idx="2">
                  <c:v>0</c:v>
                </c:pt>
                <c:pt idx="3">
                  <c:v>0</c:v>
                </c:pt>
                <c:pt idx="4">
                  <c:v>0</c:v>
                </c:pt>
                <c:pt idx="5">
                  <c:v>731.83</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a34cc79f-708b-4fb2-8027-262c08607eb1}"/>
      </c:ext>
    </c:extLst>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prstDash val="solid"/>
                  <a:round/>
                </a:ln>
                <a:effectLst/>
              </c:spPr>
            </c:leaderLines>
            <c:extLst>
              <c:ext xmlns:c15="http://schemas.microsoft.com/office/drawing/2012/chart" uri="{CE6537A1-D6FC-4f65-9D91-7224C49458BB}"/>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6687.85</c:v>
                </c:pt>
                <c:pt idx="1">
                  <c:v>27220</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2"/>
        <c:delete val="1"/>
      </c:legendEntry>
      <c:legendEntry>
        <c:idx val="3"/>
        <c:delete val="1"/>
      </c:legendEntry>
      <c:legendEntry>
        <c:idx val="4"/>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21219f61-5438-48dd-abf6-dce6b3271174}"/>
      </c:ext>
    </c:extLst>
  </c:chart>
  <c:spPr>
    <a:ln w="9525" cap="flat" cmpd="sng" algn="ctr">
      <a:solidFill>
        <a:srgbClr val="D9D9D9">
          <a:lumMod val="15000"/>
          <a:lumOff val="85000"/>
        </a:srgb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2245</Words>
  <Characters>2830</Characters>
  <Application>Microsoft Office Word</Application>
  <DocSecurity>0</DocSecurity>
  <Lines>943</Lines>
  <Paragraphs>1014</Paragraphs>
  <ScaleCrop>false</ScaleCrop>
  <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26</cp:revision>
  <cp:lastPrinted>2020-08-07T19:39:00Z</cp:lastPrinted>
  <dcterms:created xsi:type="dcterms:W3CDTF">2017-07-11T23:16:00Z</dcterms:created>
  <dcterms:modified xsi:type="dcterms:W3CDTF">2025-08-26T05:28:00Z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49B9DE37E4CF4D43B60B8E956922B208_13</vt:lpwstr>
  </property>
  <property fmtid="{D5CDD505-2E9C-101B-9397-08002B2CF9AE}" pid="4" name="KSOTemplateDocerSaveRecord">
    <vt:lpwstr>eyJoZGlkIjoiYzA4ZDdkMDEwNTg4ZTk2MjE2NjdkNmEyZDg3Yzk5Y2MiLCJ1c2VySWQiOiI3MTUwMTM5MjAifQ==</vt:lpwstr>
  </property>
</Properties>
</file>