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E83" w:rsidRDefault="00CE5E83">
      <w:pPr>
        <w:jc w:val="center"/>
        <w:rPr>
          <w:rFonts w:ascii="仿宋_GB2312" w:eastAsia="仿宋_GB2312"/>
          <w:b/>
          <w:sz w:val="32"/>
          <w:szCs w:val="32"/>
        </w:rPr>
      </w:pPr>
    </w:p>
    <w:p w:rsidR="00CE5E83" w:rsidRDefault="00CE5E83">
      <w:pPr>
        <w:jc w:val="center"/>
        <w:rPr>
          <w:rFonts w:ascii="黑体" w:eastAsia="黑体"/>
          <w:sz w:val="72"/>
          <w:szCs w:val="72"/>
        </w:rPr>
      </w:pPr>
    </w:p>
    <w:p w:rsidR="00CE5E83" w:rsidRDefault="00CE5E83">
      <w:pPr>
        <w:jc w:val="center"/>
        <w:rPr>
          <w:rFonts w:ascii="黑体" w:eastAsia="黑体"/>
          <w:sz w:val="72"/>
          <w:szCs w:val="72"/>
        </w:rPr>
      </w:pPr>
    </w:p>
    <w:p w:rsidR="00CE5E83" w:rsidRDefault="00CE5E83">
      <w:pPr>
        <w:jc w:val="center"/>
        <w:rPr>
          <w:rFonts w:ascii="黑体" w:eastAsia="黑体"/>
          <w:sz w:val="72"/>
          <w:szCs w:val="72"/>
        </w:rPr>
      </w:pPr>
    </w:p>
    <w:p w:rsidR="00CE5E83" w:rsidRDefault="00974ED3">
      <w:pPr>
        <w:jc w:val="center"/>
        <w:rPr>
          <w:rFonts w:ascii="黑体" w:eastAsia="黑体"/>
          <w:sz w:val="72"/>
          <w:szCs w:val="72"/>
        </w:rPr>
      </w:pPr>
      <w:r>
        <w:rPr>
          <w:rFonts w:ascii="黑体" w:eastAsia="黑体" w:hint="eastAsia"/>
          <w:sz w:val="72"/>
          <w:szCs w:val="72"/>
        </w:rPr>
        <w:t>北京市地热调查研究所</w:t>
      </w:r>
    </w:p>
    <w:p w:rsidR="00CE5E83" w:rsidRDefault="00974ED3">
      <w:pPr>
        <w:jc w:val="center"/>
        <w:rPr>
          <w:rFonts w:ascii="黑体" w:eastAsia="黑体"/>
          <w:sz w:val="72"/>
          <w:szCs w:val="72"/>
        </w:rPr>
      </w:pPr>
      <w:r>
        <w:rPr>
          <w:rFonts w:ascii="黑体" w:eastAsia="黑体" w:hint="eastAsia"/>
          <w:sz w:val="72"/>
          <w:szCs w:val="72"/>
        </w:rPr>
        <w:t>2024年度单位决算</w:t>
      </w:r>
    </w:p>
    <w:p w:rsidR="00CE5E83" w:rsidRDefault="00CE5E83">
      <w:pPr>
        <w:jc w:val="center"/>
        <w:rPr>
          <w:rFonts w:ascii="黑体" w:eastAsia="黑体"/>
          <w:sz w:val="52"/>
          <w:szCs w:val="52"/>
        </w:rPr>
      </w:pPr>
    </w:p>
    <w:p w:rsidR="00CE5E83" w:rsidRDefault="00CE5E83">
      <w:pPr>
        <w:jc w:val="center"/>
        <w:rPr>
          <w:rFonts w:ascii="黑体" w:eastAsia="黑体"/>
          <w:sz w:val="52"/>
          <w:szCs w:val="52"/>
        </w:rPr>
      </w:pPr>
    </w:p>
    <w:p w:rsidR="00CE5E83" w:rsidRDefault="00CE5E83">
      <w:pPr>
        <w:jc w:val="center"/>
        <w:rPr>
          <w:rFonts w:ascii="黑体" w:eastAsia="黑体"/>
          <w:sz w:val="52"/>
          <w:szCs w:val="52"/>
        </w:rPr>
      </w:pPr>
    </w:p>
    <w:p w:rsidR="00CE5E83" w:rsidRDefault="00CE5E83">
      <w:pPr>
        <w:jc w:val="center"/>
        <w:rPr>
          <w:rFonts w:ascii="黑体" w:eastAsia="黑体"/>
          <w:sz w:val="52"/>
          <w:szCs w:val="52"/>
        </w:rPr>
      </w:pPr>
    </w:p>
    <w:p w:rsidR="00CE5E83" w:rsidRDefault="00CE5E83">
      <w:pPr>
        <w:jc w:val="center"/>
        <w:rPr>
          <w:rFonts w:ascii="黑体" w:eastAsia="黑体"/>
          <w:sz w:val="32"/>
          <w:szCs w:val="32"/>
        </w:rPr>
      </w:pPr>
    </w:p>
    <w:p w:rsidR="00CE5E83" w:rsidRDefault="00974ED3">
      <w:pPr>
        <w:spacing w:line="500" w:lineRule="exact"/>
        <w:ind w:firstLine="645"/>
        <w:jc w:val="center"/>
        <w:rPr>
          <w:rFonts w:ascii="宋体" w:hAnsi="宋体" w:cs="宋体"/>
          <w:b/>
          <w:bCs/>
          <w:kern w:val="0"/>
          <w:sz w:val="44"/>
          <w:szCs w:val="36"/>
        </w:rPr>
      </w:pPr>
      <w:r>
        <w:rPr>
          <w:rFonts w:ascii="宋体" w:hAnsi="宋体" w:cs="宋体" w:hint="eastAsia"/>
          <w:b/>
          <w:bCs/>
          <w:kern w:val="0"/>
          <w:sz w:val="44"/>
          <w:szCs w:val="36"/>
        </w:rPr>
        <w:lastRenderedPageBreak/>
        <w:t>目    录</w:t>
      </w:r>
    </w:p>
    <w:p w:rsidR="00CE5E83" w:rsidRDefault="00CE5E83">
      <w:pPr>
        <w:spacing w:line="500" w:lineRule="exact"/>
        <w:ind w:firstLine="645"/>
        <w:jc w:val="center"/>
        <w:rPr>
          <w:rFonts w:ascii="宋体" w:hAnsi="宋体" w:cs="宋体"/>
          <w:b/>
          <w:bCs/>
          <w:kern w:val="0"/>
          <w:sz w:val="36"/>
          <w:szCs w:val="36"/>
        </w:rPr>
      </w:pPr>
    </w:p>
    <w:p w:rsidR="00CE5E83" w:rsidRDefault="00974ED3">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第一部分 2024年度单位决算报表</w:t>
      </w:r>
    </w:p>
    <w:p w:rsidR="00CE5E83" w:rsidRDefault="00974ED3">
      <w:pPr>
        <w:tabs>
          <w:tab w:val="center" w:pos="6979"/>
        </w:tabs>
        <w:spacing w:line="500" w:lineRule="exact"/>
        <w:ind w:firstLineChars="600" w:firstLine="2400"/>
        <w:jc w:val="left"/>
        <w:rPr>
          <w:rFonts w:ascii="仿宋_GB2312" w:eastAsia="仿宋_GB2312" w:hAnsi="仿宋"/>
          <w:spacing w:val="40"/>
          <w:sz w:val="32"/>
          <w:szCs w:val="32"/>
        </w:rPr>
      </w:pPr>
      <w:r>
        <w:rPr>
          <w:rFonts w:ascii="仿宋_GB2312" w:eastAsia="仿宋_GB2312" w:hAnsi="仿宋" w:cs="宋体" w:hint="eastAsia"/>
          <w:bCs/>
          <w:spacing w:val="40"/>
          <w:kern w:val="0"/>
          <w:sz w:val="32"/>
          <w:szCs w:val="32"/>
        </w:rPr>
        <w:t>一、收入支出决算总表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二、收入决算表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三、支出决算表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四、财政拨款收入支出决算总表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五、一般公共预算财政拨款支出决算表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六、一般公共预算财政拨款</w:t>
      </w:r>
      <w:r>
        <w:rPr>
          <w:rFonts w:ascii="仿宋_GB2312" w:eastAsia="仿宋_GB2312" w:hAnsi="仿宋" w:cs="宋体"/>
          <w:bCs/>
          <w:spacing w:val="40"/>
          <w:kern w:val="0"/>
          <w:sz w:val="32"/>
          <w:szCs w:val="32"/>
        </w:rPr>
        <w:t>基本支出决算表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七</w:t>
      </w:r>
      <w:r>
        <w:rPr>
          <w:rFonts w:ascii="仿宋_GB2312" w:eastAsia="仿宋_GB2312" w:hAnsi="仿宋" w:cs="宋体"/>
          <w:bCs/>
          <w:spacing w:val="40"/>
          <w:kern w:val="0"/>
          <w:sz w:val="32"/>
          <w:szCs w:val="32"/>
        </w:rPr>
        <w:t>、</w:t>
      </w:r>
      <w:r>
        <w:rPr>
          <w:rFonts w:ascii="仿宋_GB2312" w:eastAsia="仿宋_GB2312" w:hAnsi="仿宋" w:cs="宋体" w:hint="eastAsia"/>
          <w:bCs/>
          <w:spacing w:val="40"/>
          <w:kern w:val="0"/>
          <w:sz w:val="32"/>
          <w:szCs w:val="32"/>
        </w:rPr>
        <w:t>政府性基金预算财政拨款收入支出决算表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八、</w:t>
      </w:r>
      <w:r>
        <w:rPr>
          <w:rFonts w:ascii="仿宋_GB2312" w:eastAsia="仿宋_GB2312" w:hAnsi="仿宋" w:cs="宋体"/>
          <w:bCs/>
          <w:spacing w:val="40"/>
          <w:kern w:val="0"/>
          <w:sz w:val="32"/>
          <w:szCs w:val="32"/>
        </w:rPr>
        <w:t>政府性基金</w:t>
      </w:r>
      <w:r>
        <w:rPr>
          <w:rFonts w:ascii="仿宋_GB2312" w:eastAsia="仿宋_GB2312" w:hAnsi="仿宋" w:cs="宋体" w:hint="eastAsia"/>
          <w:bCs/>
          <w:spacing w:val="40"/>
          <w:kern w:val="0"/>
          <w:sz w:val="32"/>
          <w:szCs w:val="32"/>
        </w:rPr>
        <w:t>预算</w:t>
      </w:r>
      <w:r>
        <w:rPr>
          <w:rFonts w:ascii="仿宋_GB2312" w:eastAsia="仿宋_GB2312" w:hAnsi="仿宋" w:cs="宋体"/>
          <w:bCs/>
          <w:spacing w:val="40"/>
          <w:kern w:val="0"/>
          <w:sz w:val="32"/>
          <w:szCs w:val="32"/>
        </w:rPr>
        <w:t>财政拨款基本支出决算表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九、国有资本经营预算财政拨款支出决算表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十、财政拨款“三公”经费支出决算表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十一、政府采购情况表</w:t>
      </w:r>
    </w:p>
    <w:p w:rsidR="00CE5E83" w:rsidRDefault="00974ED3">
      <w:pPr>
        <w:tabs>
          <w:tab w:val="center" w:pos="6979"/>
        </w:tabs>
        <w:spacing w:line="500" w:lineRule="exact"/>
        <w:ind w:firstLineChars="600" w:firstLine="2400"/>
        <w:jc w:val="left"/>
        <w:rPr>
          <w:rFonts w:ascii="仿宋_GB2312" w:eastAsia="仿宋_GB2312" w:hAnsi="仿宋" w:cs="宋体"/>
          <w:bCs/>
          <w:spacing w:val="40"/>
          <w:kern w:val="0"/>
          <w:sz w:val="32"/>
          <w:szCs w:val="32"/>
        </w:rPr>
      </w:pPr>
      <w:r>
        <w:rPr>
          <w:rFonts w:ascii="仿宋_GB2312" w:eastAsia="仿宋_GB2312" w:hAnsi="仿宋" w:cs="宋体" w:hint="eastAsia"/>
          <w:bCs/>
          <w:spacing w:val="40"/>
          <w:kern w:val="0"/>
          <w:sz w:val="32"/>
          <w:szCs w:val="32"/>
        </w:rPr>
        <w:t>十二、政府购买服务决算公开情况表</w:t>
      </w:r>
    </w:p>
    <w:p w:rsidR="00CE5E83" w:rsidRDefault="00974ED3">
      <w:pPr>
        <w:tabs>
          <w:tab w:val="center" w:pos="6979"/>
        </w:tabs>
        <w:spacing w:line="500" w:lineRule="exact"/>
        <w:ind w:firstLineChars="400" w:firstLine="1600"/>
        <w:jc w:val="left"/>
        <w:rPr>
          <w:rFonts w:ascii="宋体" w:hAnsi="宋体" w:cs="宋体"/>
          <w:bCs/>
          <w:spacing w:val="40"/>
          <w:kern w:val="0"/>
          <w:sz w:val="32"/>
          <w:szCs w:val="32"/>
        </w:rPr>
      </w:pPr>
      <w:r>
        <w:rPr>
          <w:rFonts w:ascii="宋体" w:hAnsi="宋体" w:cs="宋体" w:hint="eastAsia"/>
          <w:bCs/>
          <w:spacing w:val="40"/>
          <w:kern w:val="0"/>
          <w:sz w:val="32"/>
          <w:szCs w:val="32"/>
        </w:rPr>
        <w:t xml:space="preserve">第二部分 </w:t>
      </w:r>
      <w:r>
        <w:rPr>
          <w:rFonts w:ascii="宋体" w:hAnsi="宋体" w:hint="eastAsia"/>
          <w:spacing w:val="40"/>
          <w:sz w:val="32"/>
          <w:szCs w:val="32"/>
        </w:rPr>
        <w:t>2024年度单位决算说明</w:t>
      </w:r>
    </w:p>
    <w:p w:rsidR="00CE5E83" w:rsidRDefault="00974ED3">
      <w:pPr>
        <w:tabs>
          <w:tab w:val="center" w:pos="6979"/>
        </w:tabs>
        <w:spacing w:line="500" w:lineRule="exact"/>
        <w:ind w:firstLineChars="400" w:firstLine="1600"/>
        <w:jc w:val="left"/>
        <w:rPr>
          <w:rFonts w:ascii="宋体" w:hAnsi="宋体" w:cs="宋体"/>
          <w:spacing w:val="40"/>
          <w:kern w:val="0"/>
          <w:sz w:val="32"/>
          <w:szCs w:val="32"/>
        </w:rPr>
      </w:pPr>
      <w:r>
        <w:rPr>
          <w:rFonts w:ascii="宋体" w:hAnsi="宋体" w:cs="宋体" w:hint="eastAsia"/>
          <w:bCs/>
          <w:spacing w:val="40"/>
          <w:kern w:val="0"/>
          <w:sz w:val="32"/>
          <w:szCs w:val="32"/>
        </w:rPr>
        <w:t xml:space="preserve">第三部分 </w:t>
      </w:r>
      <w:r>
        <w:rPr>
          <w:rFonts w:ascii="宋体" w:hAnsi="宋体" w:hint="eastAsia"/>
          <w:spacing w:val="40"/>
          <w:sz w:val="32"/>
          <w:szCs w:val="32"/>
        </w:rPr>
        <w:t>2024年度</w:t>
      </w:r>
      <w:r>
        <w:rPr>
          <w:rFonts w:ascii="宋体" w:hAnsi="宋体" w:cs="宋体" w:hint="eastAsia"/>
          <w:spacing w:val="40"/>
          <w:kern w:val="0"/>
          <w:sz w:val="32"/>
          <w:szCs w:val="32"/>
        </w:rPr>
        <w:t>其他重要事项的情况说明</w:t>
      </w:r>
    </w:p>
    <w:p w:rsidR="00CE5E83" w:rsidRDefault="00974ED3">
      <w:pPr>
        <w:tabs>
          <w:tab w:val="center" w:pos="6979"/>
        </w:tabs>
        <w:spacing w:line="500" w:lineRule="exact"/>
        <w:ind w:firstLineChars="400" w:firstLine="1600"/>
        <w:jc w:val="left"/>
        <w:rPr>
          <w:rFonts w:ascii="宋体" w:hAnsi="宋体" w:cs="宋体"/>
          <w:spacing w:val="40"/>
          <w:kern w:val="0"/>
          <w:sz w:val="36"/>
          <w:szCs w:val="32"/>
        </w:rPr>
      </w:pPr>
      <w:r>
        <w:rPr>
          <w:rFonts w:ascii="宋体" w:hAnsi="宋体" w:cs="宋体" w:hint="eastAsia"/>
          <w:spacing w:val="40"/>
          <w:kern w:val="0"/>
          <w:sz w:val="32"/>
          <w:szCs w:val="32"/>
        </w:rPr>
        <w:t>第四部分 2024年度单位绩效评价情况</w:t>
      </w:r>
    </w:p>
    <w:p w:rsidR="00CE5E83" w:rsidRDefault="00CE5E83">
      <w:pPr>
        <w:tabs>
          <w:tab w:val="center" w:pos="6979"/>
        </w:tabs>
        <w:spacing w:beforeLines="50" w:before="156" w:afterLines="50" w:after="156"/>
        <w:jc w:val="center"/>
        <w:rPr>
          <w:rFonts w:ascii="宋体" w:hAnsi="宋体" w:cs="宋体"/>
          <w:b/>
          <w:bCs/>
          <w:spacing w:val="40"/>
          <w:kern w:val="0"/>
          <w:sz w:val="32"/>
          <w:szCs w:val="32"/>
        </w:rPr>
      </w:pPr>
    </w:p>
    <w:p w:rsidR="00CE5E83" w:rsidRDefault="00CE5E83">
      <w:pPr>
        <w:tabs>
          <w:tab w:val="center" w:pos="6979"/>
        </w:tabs>
        <w:spacing w:beforeLines="50" w:before="156" w:afterLines="50" w:after="156"/>
        <w:jc w:val="center"/>
        <w:rPr>
          <w:rFonts w:ascii="宋体" w:hAnsi="宋体" w:cs="宋体"/>
          <w:b/>
          <w:bCs/>
          <w:spacing w:val="40"/>
          <w:kern w:val="0"/>
          <w:sz w:val="32"/>
          <w:szCs w:val="32"/>
        </w:rPr>
      </w:pPr>
    </w:p>
    <w:p w:rsidR="00CE5E83" w:rsidRDefault="00CE5E83">
      <w:pPr>
        <w:tabs>
          <w:tab w:val="center" w:pos="6979"/>
        </w:tabs>
        <w:spacing w:beforeLines="50" w:before="156" w:afterLines="50" w:after="156"/>
        <w:jc w:val="center"/>
        <w:rPr>
          <w:rFonts w:ascii="宋体" w:hAnsi="宋体" w:cs="宋体"/>
          <w:b/>
          <w:bCs/>
          <w:spacing w:val="40"/>
          <w:kern w:val="0"/>
          <w:sz w:val="32"/>
          <w:szCs w:val="32"/>
        </w:rPr>
      </w:pPr>
    </w:p>
    <w:p w:rsidR="00CE5E83" w:rsidRDefault="00CE5E83">
      <w:pPr>
        <w:tabs>
          <w:tab w:val="center" w:pos="6979"/>
        </w:tabs>
        <w:spacing w:beforeLines="50" w:before="156" w:afterLines="50" w:after="156"/>
        <w:jc w:val="center"/>
        <w:rPr>
          <w:rFonts w:ascii="宋体" w:hAnsi="宋体" w:cs="宋体"/>
          <w:b/>
          <w:bCs/>
          <w:spacing w:val="40"/>
          <w:kern w:val="0"/>
          <w:sz w:val="32"/>
          <w:szCs w:val="32"/>
        </w:rPr>
      </w:pPr>
    </w:p>
    <w:p w:rsidR="00CE5E83" w:rsidRDefault="00CE5E83">
      <w:pPr>
        <w:tabs>
          <w:tab w:val="center" w:pos="6979"/>
        </w:tabs>
        <w:spacing w:beforeLines="50" w:before="156" w:afterLines="50" w:after="156"/>
        <w:jc w:val="center"/>
        <w:rPr>
          <w:rFonts w:ascii="宋体" w:hAnsi="宋体" w:cs="宋体"/>
          <w:b/>
          <w:bCs/>
          <w:spacing w:val="40"/>
          <w:kern w:val="0"/>
          <w:sz w:val="32"/>
          <w:szCs w:val="32"/>
        </w:rPr>
      </w:pPr>
    </w:p>
    <w:p w:rsidR="00CE5E83" w:rsidRDefault="00974ED3">
      <w:pPr>
        <w:tabs>
          <w:tab w:val="center" w:pos="6979"/>
        </w:tabs>
        <w:spacing w:beforeLines="50" w:before="156" w:afterLines="50" w:after="156"/>
        <w:jc w:val="center"/>
        <w:rPr>
          <w:rFonts w:ascii="宋体" w:hAnsi="宋体" w:cs="宋体"/>
          <w:b/>
          <w:bCs/>
          <w:spacing w:val="40"/>
          <w:kern w:val="0"/>
          <w:sz w:val="32"/>
          <w:szCs w:val="32"/>
        </w:rPr>
      </w:pPr>
      <w:r>
        <w:rPr>
          <w:rFonts w:ascii="宋体" w:hAnsi="宋体" w:cs="宋体" w:hint="eastAsia"/>
          <w:b/>
          <w:bCs/>
          <w:spacing w:val="40"/>
          <w:kern w:val="0"/>
          <w:sz w:val="44"/>
          <w:szCs w:val="44"/>
        </w:rPr>
        <w:t>第一部分 2024年度单位决算报表</w:t>
      </w:r>
    </w:p>
    <w:p w:rsidR="00CE5E83" w:rsidRDefault="00974ED3">
      <w:pPr>
        <w:pStyle w:val="2"/>
        <w:rPr>
          <w:b w:val="0"/>
          <w:bCs w:val="0"/>
        </w:rPr>
        <w:sectPr w:rsidR="00CE5E83">
          <w:footerReference w:type="default" r:id="rId7"/>
          <w:pgSz w:w="16838" w:h="11906" w:orient="landscape"/>
          <w:pgMar w:top="1134" w:right="1134" w:bottom="1134" w:left="1134" w:header="851" w:footer="992" w:gutter="0"/>
          <w:cols w:space="720"/>
          <w:docGrid w:type="linesAndChars" w:linePitch="312"/>
        </w:sectPr>
      </w:pPr>
      <w:r>
        <w:rPr>
          <w:rFonts w:ascii="仿宋_GB2312" w:eastAsia="仿宋_GB2312" w:hint="eastAsia"/>
          <w:sz w:val="28"/>
          <w:szCs w:val="28"/>
        </w:rPr>
        <w:t xml:space="preserve">   </w:t>
      </w:r>
      <w:r>
        <w:rPr>
          <w:rFonts w:ascii="仿宋_GB2312" w:eastAsia="仿宋_GB2312" w:hint="eastAsia"/>
          <w:b w:val="0"/>
          <w:bCs w:val="0"/>
          <w:sz w:val="28"/>
          <w:szCs w:val="28"/>
        </w:rPr>
        <w:t>报表详见附件。</w:t>
      </w:r>
    </w:p>
    <w:p w:rsidR="00CE5E83" w:rsidRDefault="00974ED3">
      <w:pPr>
        <w:tabs>
          <w:tab w:val="center" w:pos="6979"/>
        </w:tabs>
        <w:spacing w:beforeLines="50" w:before="156" w:afterLines="50" w:after="156"/>
        <w:jc w:val="center"/>
        <w:rPr>
          <w:rFonts w:ascii="宋体" w:hAnsi="宋体"/>
          <w:b/>
          <w:sz w:val="32"/>
          <w:szCs w:val="32"/>
        </w:rPr>
      </w:pPr>
      <w:r>
        <w:rPr>
          <w:rFonts w:ascii="宋体" w:hAnsi="宋体" w:cs="宋体" w:hint="eastAsia"/>
          <w:b/>
          <w:bCs/>
          <w:spacing w:val="40"/>
          <w:kern w:val="0"/>
          <w:sz w:val="32"/>
          <w:szCs w:val="32"/>
        </w:rPr>
        <w:lastRenderedPageBreak/>
        <w:t xml:space="preserve">第二部分 </w:t>
      </w:r>
      <w:r>
        <w:rPr>
          <w:rFonts w:ascii="宋体" w:hAnsi="宋体" w:hint="eastAsia"/>
          <w:b/>
          <w:spacing w:val="40"/>
          <w:sz w:val="32"/>
          <w:szCs w:val="32"/>
        </w:rPr>
        <w:t>2024年度单位决算说明</w:t>
      </w:r>
    </w:p>
    <w:p w:rsidR="00CE5E83" w:rsidRDefault="00974ED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一、单位基本情况</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（一）机构</w:t>
      </w:r>
      <w:r>
        <w:rPr>
          <w:rFonts w:ascii="仿宋_GB2312" w:eastAsia="仿宋_GB2312"/>
          <w:sz w:val="28"/>
          <w:szCs w:val="28"/>
        </w:rPr>
        <w:t>设置</w:t>
      </w:r>
    </w:p>
    <w:p w:rsidR="00CE5E83" w:rsidRDefault="00974ED3">
      <w:pPr>
        <w:tabs>
          <w:tab w:val="center" w:pos="6979"/>
        </w:tabs>
        <w:spacing w:line="580" w:lineRule="exact"/>
        <w:ind w:firstLineChars="196" w:firstLine="549"/>
        <w:rPr>
          <w:rFonts w:ascii="仿宋_GB2312" w:eastAsia="仿宋_GB2312"/>
          <w:sz w:val="28"/>
          <w:szCs w:val="28"/>
        </w:rPr>
      </w:pPr>
      <w:r>
        <w:rPr>
          <w:rFonts w:ascii="仿宋_GB2312" w:eastAsia="仿宋_GB2312" w:hint="eastAsia"/>
          <w:sz w:val="28"/>
          <w:szCs w:val="28"/>
        </w:rPr>
        <w:t>根据《中共北京市委机构编制委员会关于市规划自然资源系统所属事业单位改革有关事项的批复》（京编委〔2021〕123号）,北京市地热研究院更名为北京市地热调查研究所。北京市地热调查研究所内设16个科室，分别为党委办公室、办公室、综合研究室、地热规划研究室、深层地热能勘查室、浅层地热能综合研究室、 浅层地热能监测研究室、浅层地热能开发利用研究室、实验测试室、钻探工程室、技术质量科、安全保障科、计划财务科、人事科、纪检办公室、工会。</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（二）单位职责</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1、承担本市地热地质勘查、地热资源调查评价相关工作；</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2、承担浅层地热能资源勘查、开发利用，综合研究；</w:t>
      </w:r>
    </w:p>
    <w:p w:rsidR="00CE5E83" w:rsidRDefault="00974ED3">
      <w:pPr>
        <w:tabs>
          <w:tab w:val="center" w:pos="6979"/>
        </w:tabs>
        <w:spacing w:line="580" w:lineRule="exact"/>
        <w:ind w:firstLineChars="200" w:firstLine="560"/>
      </w:pPr>
      <w:r>
        <w:rPr>
          <w:rFonts w:ascii="仿宋_GB2312" w:eastAsia="仿宋_GB2312" w:hint="eastAsia"/>
          <w:sz w:val="28"/>
          <w:szCs w:val="28"/>
        </w:rPr>
        <w:t>3、承担浅层地热能监测网的建设、运行和管理等事务性工作。</w:t>
      </w:r>
    </w:p>
    <w:p w:rsidR="00CE5E83" w:rsidRDefault="00974ED3">
      <w:pPr>
        <w:tabs>
          <w:tab w:val="center" w:pos="6979"/>
        </w:tabs>
        <w:spacing w:line="580" w:lineRule="exact"/>
        <w:rPr>
          <w:rFonts w:ascii="黑体" w:eastAsia="黑体"/>
          <w:b/>
          <w:sz w:val="28"/>
          <w:szCs w:val="28"/>
        </w:rPr>
      </w:pPr>
      <w:r>
        <w:rPr>
          <w:rFonts w:ascii="仿宋_GB2312" w:eastAsia="仿宋_GB2312" w:hint="eastAsia"/>
          <w:b/>
          <w:sz w:val="32"/>
          <w:szCs w:val="32"/>
        </w:rPr>
        <w:t xml:space="preserve">   </w:t>
      </w:r>
      <w:r>
        <w:rPr>
          <w:rFonts w:ascii="黑体" w:eastAsia="黑体" w:hint="eastAsia"/>
          <w:b/>
          <w:sz w:val="28"/>
          <w:szCs w:val="28"/>
        </w:rPr>
        <w:t>二、收入支出决算总体情况说明</w:t>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6247.25</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减少1094.56万元，下降14.91%。</w:t>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（一</w:t>
      </w:r>
      <w:r>
        <w:rPr>
          <w:rFonts w:ascii="仿宋_GB2312" w:eastAsia="仿宋_GB2312"/>
          <w:sz w:val="28"/>
          <w:szCs w:val="28"/>
        </w:rPr>
        <w:t>）</w:t>
      </w:r>
      <w:r>
        <w:rPr>
          <w:rFonts w:ascii="仿宋_GB2312" w:eastAsia="仿宋_GB2312" w:hint="eastAsia"/>
          <w:sz w:val="28"/>
          <w:szCs w:val="28"/>
        </w:rPr>
        <w:t>收入决算</w:t>
      </w:r>
      <w:r>
        <w:rPr>
          <w:rFonts w:ascii="仿宋_GB2312" w:eastAsia="仿宋_GB2312"/>
          <w:sz w:val="28"/>
          <w:szCs w:val="28"/>
        </w:rPr>
        <w:t>说明</w:t>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2024年度本年收入合计</w:t>
      </w:r>
      <w:r>
        <w:rPr>
          <w:rFonts w:ascii="仿宋_GB2312" w:eastAsia="仿宋_GB2312"/>
          <w:sz w:val="28"/>
          <w:szCs w:val="28"/>
        </w:rPr>
        <w:t>6100.63</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减少613.59万元，下降9.14%。</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lastRenderedPageBreak/>
        <w:t>1.财政拨款收入</w:t>
      </w:r>
      <w:r>
        <w:rPr>
          <w:rFonts w:ascii="仿宋_GB2312" w:eastAsia="仿宋_GB2312"/>
          <w:sz w:val="28"/>
          <w:szCs w:val="28"/>
        </w:rPr>
        <w:t>5081.88</w:t>
      </w:r>
      <w:r>
        <w:rPr>
          <w:rFonts w:ascii="仿宋_GB2312" w:eastAsia="仿宋_GB2312" w:hint="eastAsia"/>
          <w:sz w:val="28"/>
          <w:szCs w:val="28"/>
        </w:rPr>
        <w:t>万元，占收入合计的83.30%。其中：一般公共预算财政拨款收入</w:t>
      </w:r>
      <w:r>
        <w:rPr>
          <w:rFonts w:ascii="仿宋_GB2312" w:eastAsia="仿宋_GB2312"/>
          <w:sz w:val="28"/>
          <w:szCs w:val="28"/>
        </w:rPr>
        <w:t>5081.88</w:t>
      </w:r>
      <w:r>
        <w:rPr>
          <w:rFonts w:ascii="仿宋_GB2312" w:eastAsia="仿宋_GB2312" w:hint="eastAsia"/>
          <w:sz w:val="28"/>
          <w:szCs w:val="28"/>
        </w:rPr>
        <w:t>万元，占收入合计的83.30%；政府性基金预算财政拨款收入</w:t>
      </w:r>
      <w:r>
        <w:rPr>
          <w:rFonts w:ascii="仿宋_GB2312" w:eastAsia="仿宋_GB2312"/>
          <w:sz w:val="28"/>
          <w:szCs w:val="28"/>
        </w:rPr>
        <w:t>0</w:t>
      </w:r>
      <w:r>
        <w:rPr>
          <w:rFonts w:ascii="仿宋_GB2312" w:eastAsia="仿宋_GB2312" w:hint="eastAsia"/>
          <w:sz w:val="28"/>
          <w:szCs w:val="28"/>
        </w:rPr>
        <w:t>万元，占收入合计的0%；国有资本经营预算财政拨款收入</w:t>
      </w:r>
      <w:r>
        <w:rPr>
          <w:rFonts w:ascii="仿宋_GB2312" w:eastAsia="仿宋_GB2312"/>
          <w:sz w:val="28"/>
          <w:szCs w:val="28"/>
        </w:rPr>
        <w:t>0</w:t>
      </w:r>
      <w:r>
        <w:rPr>
          <w:rFonts w:ascii="仿宋_GB2312" w:eastAsia="仿宋_GB2312" w:hint="eastAsia"/>
          <w:sz w:val="28"/>
          <w:szCs w:val="28"/>
        </w:rPr>
        <w:t>万元，占收入合计的0%；</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2.上级补助收入</w:t>
      </w:r>
      <w:r>
        <w:rPr>
          <w:rFonts w:ascii="仿宋_GB2312" w:eastAsia="仿宋_GB2312"/>
          <w:sz w:val="28"/>
          <w:szCs w:val="28"/>
        </w:rPr>
        <w:t>0</w:t>
      </w:r>
      <w:r>
        <w:rPr>
          <w:rFonts w:ascii="仿宋_GB2312" w:eastAsia="仿宋_GB2312" w:hint="eastAsia"/>
          <w:sz w:val="28"/>
          <w:szCs w:val="28"/>
        </w:rPr>
        <w:t>万元，占收入合计的0%；</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3.事业收入</w:t>
      </w:r>
      <w:r>
        <w:rPr>
          <w:rFonts w:ascii="仿宋_GB2312" w:eastAsia="仿宋_GB2312"/>
          <w:sz w:val="28"/>
          <w:szCs w:val="28"/>
        </w:rPr>
        <w:t>1014.3</w:t>
      </w:r>
      <w:r>
        <w:rPr>
          <w:rFonts w:ascii="仿宋_GB2312" w:eastAsia="仿宋_GB2312" w:hint="eastAsia"/>
          <w:sz w:val="28"/>
          <w:szCs w:val="28"/>
        </w:rPr>
        <w:t>4万元，占收入合计的16.63%；</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4.经营收入</w:t>
      </w:r>
      <w:r>
        <w:rPr>
          <w:rFonts w:ascii="仿宋_GB2312" w:eastAsia="仿宋_GB2312"/>
          <w:sz w:val="28"/>
          <w:szCs w:val="28"/>
        </w:rPr>
        <w:t>0</w:t>
      </w:r>
      <w:r>
        <w:rPr>
          <w:rFonts w:ascii="仿宋_GB2312" w:eastAsia="仿宋_GB2312" w:hint="eastAsia"/>
          <w:sz w:val="28"/>
          <w:szCs w:val="28"/>
        </w:rPr>
        <w:t>万元，占收入合计的0%；</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5.附属单位上缴收入</w:t>
      </w:r>
      <w:r>
        <w:rPr>
          <w:rFonts w:ascii="仿宋_GB2312" w:eastAsia="仿宋_GB2312"/>
          <w:sz w:val="28"/>
          <w:szCs w:val="28"/>
        </w:rPr>
        <w:t>0</w:t>
      </w:r>
      <w:r>
        <w:rPr>
          <w:rFonts w:ascii="仿宋_GB2312" w:eastAsia="仿宋_GB2312" w:hint="eastAsia"/>
          <w:sz w:val="28"/>
          <w:szCs w:val="28"/>
        </w:rPr>
        <w:t>万元，占收入合计的0%；</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6.其他收入</w:t>
      </w:r>
      <w:r>
        <w:rPr>
          <w:rFonts w:ascii="仿宋_GB2312" w:eastAsia="仿宋_GB2312"/>
          <w:sz w:val="28"/>
          <w:szCs w:val="28"/>
        </w:rPr>
        <w:t>4.41</w:t>
      </w:r>
      <w:r>
        <w:rPr>
          <w:rFonts w:ascii="仿宋_GB2312" w:eastAsia="仿宋_GB2312" w:hint="eastAsia"/>
          <w:sz w:val="28"/>
          <w:szCs w:val="28"/>
        </w:rPr>
        <w:t>万元，占收入合计的0.07%。</w:t>
      </w:r>
    </w:p>
    <w:p w:rsidR="00CE5E83" w:rsidRDefault="00974ED3">
      <w:pPr>
        <w:pStyle w:val="2"/>
        <w:jc w:val="center"/>
      </w:pPr>
      <w:r>
        <w:rPr>
          <w:rFonts w:ascii="仿宋_GB2312" w:eastAsia="仿宋_GB2312" w:hint="eastAsia"/>
          <w:color w:val="000000"/>
          <w:sz w:val="32"/>
        </w:rPr>
        <w:lastRenderedPageBreak/>
        <w:t>图1：收入决算</w:t>
      </w:r>
    </w:p>
    <w:p w:rsidR="00CE5E83" w:rsidRDefault="00974ED3">
      <w:pPr>
        <w:pStyle w:val="a3"/>
        <w:ind w:firstLine="420"/>
        <w:jc w:val="center"/>
      </w:pPr>
      <w:r>
        <w:rPr>
          <w:noProof/>
        </w:rPr>
        <w:drawing>
          <wp:inline distT="0" distB="0" distL="114300" distR="114300">
            <wp:extent cx="4819650" cy="2743200"/>
            <wp:effectExtent l="4445" t="4445" r="14605" b="14605"/>
            <wp:docPr id="2" name="图表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（二</w:t>
      </w:r>
      <w:r>
        <w:rPr>
          <w:rFonts w:ascii="仿宋_GB2312" w:eastAsia="仿宋_GB2312"/>
          <w:sz w:val="28"/>
          <w:szCs w:val="28"/>
        </w:rPr>
        <w:t>）</w:t>
      </w:r>
      <w:r>
        <w:rPr>
          <w:rFonts w:ascii="仿宋_GB2312" w:eastAsia="仿宋_GB2312" w:hint="eastAsia"/>
          <w:sz w:val="28"/>
          <w:szCs w:val="28"/>
        </w:rPr>
        <w:t>支出决算</w:t>
      </w:r>
      <w:r>
        <w:rPr>
          <w:rFonts w:ascii="仿宋_GB2312" w:eastAsia="仿宋_GB2312"/>
          <w:sz w:val="28"/>
          <w:szCs w:val="28"/>
        </w:rPr>
        <w:t>说明</w:t>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2024年度本年支出合计</w:t>
      </w:r>
      <w:r>
        <w:rPr>
          <w:rFonts w:ascii="仿宋_GB2312" w:eastAsia="仿宋_GB2312"/>
          <w:sz w:val="28"/>
          <w:szCs w:val="28"/>
        </w:rPr>
        <w:t>5781.17</w:t>
      </w:r>
      <w:r>
        <w:rPr>
          <w:rFonts w:ascii="仿宋_GB2312" w:eastAsia="仿宋_GB2312" w:hint="eastAsia"/>
          <w:sz w:val="28"/>
          <w:szCs w:val="28"/>
        </w:rPr>
        <w:t>万元，</w:t>
      </w:r>
      <w:r>
        <w:rPr>
          <w:rFonts w:ascii="仿宋_GB2312" w:eastAsia="仿宋_GB2312"/>
          <w:sz w:val="28"/>
          <w:szCs w:val="28"/>
        </w:rPr>
        <w:t>比上年</w:t>
      </w:r>
      <w:r>
        <w:rPr>
          <w:rFonts w:ascii="仿宋_GB2312" w:eastAsia="仿宋_GB2312" w:hint="eastAsia"/>
          <w:sz w:val="28"/>
          <w:szCs w:val="28"/>
        </w:rPr>
        <w:t>减少845.66万元，下降12.76%，其中：基本支出</w:t>
      </w:r>
      <w:r>
        <w:rPr>
          <w:rFonts w:ascii="仿宋_GB2312" w:eastAsia="仿宋_GB2312"/>
          <w:sz w:val="28"/>
          <w:szCs w:val="28"/>
        </w:rPr>
        <w:t>5097.1</w:t>
      </w:r>
      <w:r>
        <w:rPr>
          <w:rFonts w:ascii="仿宋_GB2312" w:eastAsia="仿宋_GB2312" w:hint="eastAsia"/>
          <w:sz w:val="28"/>
          <w:szCs w:val="28"/>
        </w:rPr>
        <w:t>6万元，占支出合计的88.17%；项目支出</w:t>
      </w:r>
      <w:r>
        <w:rPr>
          <w:rFonts w:ascii="仿宋_GB2312" w:eastAsia="仿宋_GB2312"/>
          <w:sz w:val="28"/>
          <w:szCs w:val="28"/>
        </w:rPr>
        <w:t>684.01</w:t>
      </w:r>
      <w:r>
        <w:rPr>
          <w:rFonts w:ascii="仿宋_GB2312" w:eastAsia="仿宋_GB2312" w:hint="eastAsia"/>
          <w:sz w:val="28"/>
          <w:szCs w:val="28"/>
        </w:rPr>
        <w:t>万元，占支出合计的11.83%;上缴上级支出</w:t>
      </w:r>
      <w:r>
        <w:rPr>
          <w:rFonts w:ascii="仿宋_GB2312" w:eastAsia="仿宋_GB2312"/>
          <w:sz w:val="28"/>
          <w:szCs w:val="28"/>
        </w:rPr>
        <w:t>0</w:t>
      </w:r>
      <w:r>
        <w:rPr>
          <w:rFonts w:ascii="仿宋_GB2312" w:eastAsia="仿宋_GB2312" w:hint="eastAsia"/>
          <w:sz w:val="28"/>
          <w:szCs w:val="28"/>
        </w:rPr>
        <w:t>万元，占支出合计的0%；经营支出</w:t>
      </w:r>
      <w:r>
        <w:rPr>
          <w:rFonts w:ascii="仿宋_GB2312" w:eastAsia="仿宋_GB2312"/>
          <w:sz w:val="28"/>
          <w:szCs w:val="28"/>
        </w:rPr>
        <w:t>0</w:t>
      </w:r>
      <w:r>
        <w:rPr>
          <w:rFonts w:ascii="仿宋_GB2312" w:eastAsia="仿宋_GB2312" w:hint="eastAsia"/>
          <w:sz w:val="28"/>
          <w:szCs w:val="28"/>
        </w:rPr>
        <w:t>万元，占支出合计的0%；对附属单位补助支出</w:t>
      </w:r>
      <w:r>
        <w:rPr>
          <w:rFonts w:ascii="仿宋_GB2312" w:eastAsia="仿宋_GB2312"/>
          <w:sz w:val="28"/>
          <w:szCs w:val="28"/>
        </w:rPr>
        <w:t>0</w:t>
      </w:r>
      <w:r>
        <w:rPr>
          <w:rFonts w:ascii="仿宋_GB2312" w:eastAsia="仿宋_GB2312" w:hint="eastAsia"/>
          <w:sz w:val="28"/>
          <w:szCs w:val="28"/>
        </w:rPr>
        <w:t>万元，占支出合计的0%。</w:t>
      </w:r>
    </w:p>
    <w:p w:rsidR="00CE5E83" w:rsidRDefault="00974ED3">
      <w:pPr>
        <w:pStyle w:val="2"/>
        <w:ind w:firstLine="642"/>
        <w:jc w:val="center"/>
        <w:rPr>
          <w:rFonts w:ascii="仿宋_GB2312" w:eastAsia="仿宋_GB2312"/>
          <w:color w:val="000000"/>
          <w:sz w:val="32"/>
        </w:rPr>
      </w:pPr>
      <w:r>
        <w:rPr>
          <w:rFonts w:ascii="仿宋_GB2312" w:eastAsia="仿宋_GB2312" w:hint="eastAsia"/>
          <w:color w:val="000000"/>
          <w:sz w:val="32"/>
        </w:rPr>
        <w:lastRenderedPageBreak/>
        <w:t>图2：基本支出和项目支出情况</w:t>
      </w:r>
    </w:p>
    <w:p w:rsidR="00CE5E83" w:rsidRDefault="00974ED3">
      <w:pPr>
        <w:jc w:val="center"/>
        <w:rPr>
          <w:rFonts w:ascii="黑体" w:eastAsia="黑体"/>
          <w:b/>
          <w:sz w:val="28"/>
          <w:szCs w:val="28"/>
        </w:rPr>
      </w:pPr>
      <w:r>
        <w:rPr>
          <w:noProof/>
        </w:rPr>
        <w:drawing>
          <wp:inline distT="0" distB="0" distL="114300" distR="114300">
            <wp:extent cx="4819650" cy="2743200"/>
            <wp:effectExtent l="4445" t="4445" r="14605" b="14605"/>
            <wp:docPr id="4" name="图表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E5E83" w:rsidRDefault="00974ED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三</w:t>
      </w:r>
      <w:r>
        <w:rPr>
          <w:rFonts w:ascii="黑体" w:eastAsia="黑体"/>
          <w:b/>
          <w:sz w:val="28"/>
          <w:szCs w:val="28"/>
        </w:rPr>
        <w:t>、财政拨款</w:t>
      </w:r>
      <w:r>
        <w:rPr>
          <w:rFonts w:ascii="黑体" w:eastAsia="黑体" w:hint="eastAsia"/>
          <w:b/>
          <w:sz w:val="28"/>
          <w:szCs w:val="28"/>
        </w:rPr>
        <w:t>收入支出决算</w:t>
      </w:r>
      <w:r>
        <w:rPr>
          <w:rFonts w:ascii="黑体" w:eastAsia="黑体"/>
          <w:b/>
          <w:sz w:val="28"/>
          <w:szCs w:val="28"/>
        </w:rPr>
        <w:t>总体情况说明</w:t>
      </w:r>
    </w:p>
    <w:p w:rsidR="00CE5E83" w:rsidRDefault="00974ED3">
      <w:pPr>
        <w:tabs>
          <w:tab w:val="center" w:pos="6979"/>
        </w:tabs>
        <w:spacing w:line="580" w:lineRule="exact"/>
        <w:ind w:firstLine="570"/>
        <w:rPr>
          <w:rFonts w:ascii="仿宋_GB2312" w:eastAsia="仿宋_GB2312"/>
          <w:sz w:val="28"/>
          <w:szCs w:val="28"/>
        </w:rPr>
      </w:pPr>
      <w:r>
        <w:rPr>
          <w:rFonts w:ascii="仿宋_GB2312" w:eastAsia="仿宋_GB2312" w:hint="eastAsia"/>
          <w:sz w:val="28"/>
          <w:szCs w:val="28"/>
        </w:rPr>
        <w:t>2024年度财政拨款收、</w:t>
      </w:r>
      <w:r>
        <w:rPr>
          <w:rFonts w:ascii="仿宋_GB2312" w:eastAsia="仿宋_GB2312"/>
          <w:sz w:val="28"/>
          <w:szCs w:val="28"/>
        </w:rPr>
        <w:t>支</w:t>
      </w:r>
      <w:r>
        <w:rPr>
          <w:rFonts w:ascii="仿宋_GB2312" w:eastAsia="仿宋_GB2312" w:hint="eastAsia"/>
          <w:sz w:val="28"/>
          <w:szCs w:val="28"/>
        </w:rPr>
        <w:t>总计</w:t>
      </w:r>
      <w:r>
        <w:rPr>
          <w:rFonts w:ascii="仿宋_GB2312" w:eastAsia="仿宋_GB2312"/>
          <w:sz w:val="28"/>
          <w:szCs w:val="28"/>
        </w:rPr>
        <w:t>5081.88</w:t>
      </w:r>
      <w:r>
        <w:rPr>
          <w:rFonts w:ascii="仿宋_GB2312" w:eastAsia="仿宋_GB2312" w:hint="eastAsia"/>
          <w:sz w:val="28"/>
          <w:szCs w:val="28"/>
        </w:rPr>
        <w:t>万元，比上年减少353.82万元，下降6.51%。主要原因：本年承担的公益性项目减少等。</w:t>
      </w:r>
    </w:p>
    <w:p w:rsidR="00CE5E83" w:rsidRDefault="00974ED3">
      <w:pPr>
        <w:tabs>
          <w:tab w:val="center" w:pos="6979"/>
        </w:tabs>
        <w:spacing w:line="580" w:lineRule="exact"/>
        <w:ind w:firstLineChars="196" w:firstLine="551"/>
        <w:rPr>
          <w:rFonts w:ascii="黑体" w:eastAsia="黑体"/>
          <w:b/>
          <w:sz w:val="28"/>
          <w:szCs w:val="28"/>
        </w:rPr>
      </w:pPr>
      <w:r>
        <w:rPr>
          <w:rFonts w:ascii="黑体" w:eastAsia="黑体" w:hint="eastAsia"/>
          <w:b/>
          <w:sz w:val="28"/>
          <w:szCs w:val="28"/>
        </w:rPr>
        <w:t>四、一般公共预算财政拨款支出决算情况说明</w:t>
      </w:r>
    </w:p>
    <w:p w:rsidR="00CE5E83" w:rsidRDefault="00974ED3">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（一）一般公共预算财政拨款支出决算总体情况</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2024年度一般公共预算财政拨款支出</w:t>
      </w:r>
      <w:r>
        <w:rPr>
          <w:rFonts w:ascii="仿宋_GB2312" w:eastAsia="仿宋_GB2312"/>
          <w:sz w:val="28"/>
          <w:szCs w:val="28"/>
        </w:rPr>
        <w:t>4950.01</w:t>
      </w:r>
      <w:r>
        <w:rPr>
          <w:rFonts w:ascii="仿宋_GB2312" w:eastAsia="仿宋_GB2312" w:hint="eastAsia"/>
          <w:sz w:val="28"/>
          <w:szCs w:val="28"/>
        </w:rPr>
        <w:t>万元，主要用于以下方面（按大类）：社会保障和就业支出248.19万元，占本年财政拨款支出5.01%；卫生健康支出274.76万元，占本年财政拨款支出5.55%；自然资源海洋气象等支出</w:t>
      </w:r>
      <w:r>
        <w:rPr>
          <w:rFonts w:ascii="仿宋_GB2312" w:eastAsia="仿宋_GB2312" w:hint="eastAsia"/>
          <w:sz w:val="28"/>
          <w:szCs w:val="28"/>
        </w:rPr>
        <w:lastRenderedPageBreak/>
        <w:t>4427.06万元，占本年财政拨款支出89.44%。</w:t>
      </w:r>
    </w:p>
    <w:p w:rsidR="00CE5E83" w:rsidRDefault="00974ED3">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（二）一般公共预算财政拨款支出决算具体情况</w:t>
      </w:r>
    </w:p>
    <w:p w:rsidR="00CE5E83" w:rsidRDefault="00974ED3">
      <w:pPr>
        <w:autoSpaceDE w:val="0"/>
        <w:autoSpaceDN w:val="0"/>
        <w:adjustRightInd w:val="0"/>
        <w:spacing w:line="580" w:lineRule="exact"/>
        <w:ind w:firstLineChars="200" w:firstLine="560"/>
        <w:jc w:val="left"/>
        <w:rPr>
          <w:rFonts w:ascii="仿宋_GB2312" w:eastAsia="仿宋_GB2312"/>
          <w:sz w:val="28"/>
          <w:szCs w:val="28"/>
        </w:rPr>
      </w:pPr>
      <w:r>
        <w:rPr>
          <w:rFonts w:ascii="仿宋_GB2312" w:eastAsia="仿宋_GB2312" w:hint="eastAsia"/>
          <w:sz w:val="28"/>
          <w:szCs w:val="28"/>
        </w:rPr>
        <w:t>1、“社会保障和就业支出”（类）2024年度年初预算248.88万元，2024年度决算248.19万元，完成年初预算的99.72%。</w:t>
      </w:r>
    </w:p>
    <w:p w:rsidR="00CE5E83" w:rsidRDefault="00974ED3">
      <w:pPr>
        <w:autoSpaceDE w:val="0"/>
        <w:autoSpaceDN w:val="0"/>
        <w:adjustRightInd w:val="0"/>
        <w:spacing w:line="580" w:lineRule="exact"/>
        <w:jc w:val="left"/>
        <w:rPr>
          <w:rFonts w:ascii="仿宋_GB2312" w:eastAsia="仿宋_GB2312"/>
          <w:sz w:val="28"/>
          <w:szCs w:val="28"/>
        </w:rPr>
      </w:pPr>
      <w:r>
        <w:rPr>
          <w:rFonts w:ascii="仿宋_GB2312" w:eastAsia="仿宋_GB2312" w:hint="eastAsia"/>
          <w:sz w:val="28"/>
          <w:szCs w:val="28"/>
        </w:rPr>
        <w:t>其中：</w:t>
      </w:r>
    </w:p>
    <w:p w:rsidR="00CE5E83" w:rsidRDefault="00974ED3">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“行政事业单位养老支出”（款）2024年度年初预算248.88万元，2024年度决算248.19万元，完成年初预算的99.72%。主要原因：在职员工减少等。</w:t>
      </w:r>
    </w:p>
    <w:p w:rsidR="00CE5E83" w:rsidRDefault="00974ED3">
      <w:pPr>
        <w:spacing w:line="580" w:lineRule="exact"/>
        <w:ind w:firstLineChars="200" w:firstLine="560"/>
        <w:rPr>
          <w:rFonts w:ascii="仿宋_GB2312" w:eastAsia="仿宋_GB2312"/>
          <w:sz w:val="28"/>
          <w:szCs w:val="28"/>
        </w:rPr>
      </w:pPr>
      <w:r>
        <w:rPr>
          <w:rFonts w:ascii="仿宋_GB2312" w:eastAsia="仿宋_GB2312" w:hint="eastAsia"/>
          <w:sz w:val="28"/>
          <w:szCs w:val="28"/>
        </w:rPr>
        <w:t>2、“卫生健康支出”(类)2024年度年初预算279.62万元，2024年度决算274.76万元，完成年初预算的98.26%。其中：</w:t>
      </w:r>
    </w:p>
    <w:p w:rsidR="00CE5E83" w:rsidRDefault="00974ED3">
      <w:pPr>
        <w:spacing w:line="580" w:lineRule="exact"/>
        <w:ind w:firstLineChars="200" w:firstLine="560"/>
        <w:rPr>
          <w:rFonts w:ascii="仿宋_GB2312" w:eastAsia="仿宋_GB2312"/>
          <w:sz w:val="28"/>
          <w:szCs w:val="28"/>
        </w:rPr>
      </w:pPr>
      <w:r>
        <w:rPr>
          <w:rFonts w:ascii="仿宋_GB2312" w:eastAsia="仿宋_GB2312" w:hint="eastAsia"/>
          <w:sz w:val="28"/>
          <w:szCs w:val="28"/>
        </w:rPr>
        <w:t>“行政事业单位医疗”（款）2024年度年初预算279.62万元，2024年度决算274.76万元，完成年初预算的98.26%。主要原因：在职员工减少等。</w:t>
      </w:r>
    </w:p>
    <w:p w:rsidR="00CE5E83" w:rsidRDefault="00974ED3">
      <w:pPr>
        <w:spacing w:line="580" w:lineRule="exact"/>
        <w:ind w:firstLineChars="200" w:firstLine="560"/>
        <w:rPr>
          <w:rFonts w:ascii="仿宋_GB2312" w:eastAsia="仿宋_GB2312"/>
          <w:sz w:val="28"/>
          <w:szCs w:val="28"/>
        </w:rPr>
      </w:pPr>
      <w:r>
        <w:rPr>
          <w:rFonts w:ascii="仿宋_GB2312" w:eastAsia="仿宋_GB2312" w:hint="eastAsia"/>
          <w:sz w:val="28"/>
          <w:szCs w:val="28"/>
        </w:rPr>
        <w:t>3、“自然资源海洋气象等支出”(类)2024年度年初预算3814.09万元，2024年度决算4427.06万元，完成年初预算的116.07%。其中：</w:t>
      </w:r>
    </w:p>
    <w:p w:rsidR="00CE5E83" w:rsidRDefault="00974ED3">
      <w:pPr>
        <w:spacing w:line="580" w:lineRule="exact"/>
        <w:ind w:firstLineChars="200" w:firstLine="560"/>
        <w:rPr>
          <w:rFonts w:ascii="仿宋_GB2312" w:eastAsia="仿宋_GB2312"/>
          <w:sz w:val="28"/>
          <w:szCs w:val="28"/>
        </w:rPr>
      </w:pPr>
      <w:r>
        <w:rPr>
          <w:rFonts w:ascii="仿宋_GB2312" w:eastAsia="仿宋_GB2312" w:hint="eastAsia"/>
          <w:sz w:val="28"/>
          <w:szCs w:val="28"/>
        </w:rPr>
        <w:t>“自然资源事务”（款）2024年度年初预算3814.09万元，2024年度决算4427.06万元，完成年初预算的116.07%。主要原因：本年承担的地质市场工作任务增加等。</w:t>
      </w:r>
    </w:p>
    <w:p w:rsidR="00CE5E83" w:rsidRDefault="00974ED3">
      <w:pPr>
        <w:spacing w:line="580" w:lineRule="exact"/>
        <w:ind w:firstLineChars="200" w:firstLine="562"/>
        <w:rPr>
          <w:rFonts w:ascii="仿宋_GB2312" w:eastAsia="仿宋_GB2312"/>
          <w:sz w:val="28"/>
          <w:szCs w:val="28"/>
        </w:rPr>
      </w:pPr>
      <w:r>
        <w:rPr>
          <w:rFonts w:ascii="黑体" w:eastAsia="黑体" w:hint="eastAsia"/>
          <w:b/>
          <w:sz w:val="28"/>
          <w:szCs w:val="28"/>
        </w:rPr>
        <w:t>五、政府性基金预算财政拨款支出决算情况说明</w:t>
      </w:r>
    </w:p>
    <w:p w:rsidR="00CE5E83" w:rsidRDefault="00974ED3">
      <w:pPr>
        <w:tabs>
          <w:tab w:val="center" w:pos="6979"/>
        </w:tabs>
        <w:spacing w:line="58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CE5E83" w:rsidRDefault="00974ED3">
      <w:pPr>
        <w:spacing w:line="580" w:lineRule="exact"/>
        <w:ind w:firstLineChars="200" w:firstLine="562"/>
        <w:rPr>
          <w:rFonts w:ascii="黑体" w:eastAsia="黑体"/>
          <w:b/>
          <w:sz w:val="28"/>
          <w:szCs w:val="28"/>
        </w:rPr>
      </w:pPr>
      <w:r>
        <w:rPr>
          <w:rFonts w:ascii="黑体" w:eastAsia="黑体" w:hint="eastAsia"/>
          <w:b/>
          <w:sz w:val="28"/>
          <w:szCs w:val="28"/>
        </w:rPr>
        <w:lastRenderedPageBreak/>
        <w:t>六、国有资本经营预算财</w:t>
      </w:r>
      <w:r>
        <w:rPr>
          <w:rFonts w:ascii="黑体" w:eastAsia="黑体"/>
          <w:b/>
          <w:sz w:val="28"/>
          <w:szCs w:val="28"/>
        </w:rPr>
        <w:t>政拨款</w:t>
      </w:r>
      <w:r>
        <w:rPr>
          <w:rFonts w:ascii="黑体" w:eastAsia="黑体" w:hint="eastAsia"/>
          <w:b/>
          <w:sz w:val="28"/>
          <w:szCs w:val="28"/>
        </w:rPr>
        <w:t>收支情况</w:t>
      </w:r>
    </w:p>
    <w:p w:rsidR="00CE5E83" w:rsidRDefault="00974ED3">
      <w:pPr>
        <w:ind w:firstLineChars="192" w:firstLine="538"/>
        <w:rPr>
          <w:rFonts w:ascii="仿宋_GB2312" w:eastAsia="仿宋_GB2312"/>
          <w:sz w:val="28"/>
          <w:szCs w:val="28"/>
        </w:rPr>
      </w:pPr>
      <w:r>
        <w:rPr>
          <w:rFonts w:ascii="仿宋_GB2312" w:eastAsia="仿宋_GB2312" w:hint="eastAsia"/>
          <w:sz w:val="28"/>
          <w:szCs w:val="28"/>
        </w:rPr>
        <w:t>2024年度国有资本经营预算财政</w:t>
      </w:r>
      <w:r>
        <w:rPr>
          <w:rFonts w:ascii="仿宋_GB2312" w:eastAsia="仿宋_GB2312"/>
          <w:sz w:val="28"/>
          <w:szCs w:val="28"/>
        </w:rPr>
        <w:t>拨款</w:t>
      </w:r>
      <w:r>
        <w:rPr>
          <w:rFonts w:ascii="仿宋_GB2312" w:eastAsia="仿宋_GB2312" w:hint="eastAsia"/>
          <w:sz w:val="28"/>
          <w:szCs w:val="28"/>
        </w:rPr>
        <w:t>收入总</w:t>
      </w:r>
      <w:r>
        <w:rPr>
          <w:rFonts w:ascii="仿宋_GB2312" w:eastAsia="仿宋_GB2312"/>
          <w:sz w:val="28"/>
          <w:szCs w:val="28"/>
        </w:rPr>
        <w:t>计0</w:t>
      </w:r>
      <w:r>
        <w:rPr>
          <w:rFonts w:ascii="仿宋_GB2312" w:eastAsia="仿宋_GB2312" w:hint="eastAsia"/>
          <w:sz w:val="28"/>
          <w:szCs w:val="28"/>
        </w:rPr>
        <w:t>万元，国有资本经营预算财政</w:t>
      </w:r>
      <w:r>
        <w:rPr>
          <w:rFonts w:ascii="仿宋_GB2312" w:eastAsia="仿宋_GB2312"/>
          <w:sz w:val="28"/>
          <w:szCs w:val="28"/>
        </w:rPr>
        <w:t>拨款</w:t>
      </w:r>
      <w:r>
        <w:rPr>
          <w:rFonts w:ascii="仿宋_GB2312" w:eastAsia="仿宋_GB2312" w:hint="eastAsia"/>
          <w:sz w:val="28"/>
          <w:szCs w:val="28"/>
        </w:rPr>
        <w:t>支出总</w:t>
      </w:r>
      <w:r>
        <w:rPr>
          <w:rFonts w:ascii="仿宋_GB2312" w:eastAsia="仿宋_GB2312"/>
          <w:sz w:val="28"/>
          <w:szCs w:val="28"/>
        </w:rPr>
        <w:t>计0</w:t>
      </w:r>
      <w:r>
        <w:rPr>
          <w:rFonts w:ascii="仿宋_GB2312" w:eastAsia="仿宋_GB2312" w:hint="eastAsia"/>
          <w:sz w:val="28"/>
          <w:szCs w:val="28"/>
        </w:rPr>
        <w:t>万元。</w:t>
      </w:r>
    </w:p>
    <w:p w:rsidR="00CE5E83" w:rsidRDefault="00974ED3">
      <w:pPr>
        <w:spacing w:line="580" w:lineRule="exact"/>
        <w:ind w:firstLineChars="196" w:firstLine="551"/>
        <w:rPr>
          <w:rFonts w:ascii="黑体" w:eastAsia="黑体"/>
          <w:sz w:val="28"/>
          <w:szCs w:val="28"/>
        </w:rPr>
      </w:pPr>
      <w:r>
        <w:rPr>
          <w:rFonts w:ascii="黑体" w:eastAsia="黑体" w:hint="eastAsia"/>
          <w:b/>
          <w:sz w:val="28"/>
          <w:szCs w:val="28"/>
        </w:rPr>
        <w:t>七、财政拨款基本支出决算情况说明</w:t>
      </w:r>
    </w:p>
    <w:p w:rsidR="00CE5E83" w:rsidRDefault="00974ED3">
      <w:pPr>
        <w:tabs>
          <w:tab w:val="center" w:pos="6979"/>
        </w:tabs>
        <w:spacing w:line="580" w:lineRule="exact"/>
        <w:ind w:firstLineChars="196" w:firstLine="549"/>
        <w:rPr>
          <w:rFonts w:ascii="仿宋_GB2312" w:eastAsia="仿宋_GB2312"/>
          <w:sz w:val="28"/>
          <w:szCs w:val="28"/>
        </w:rPr>
      </w:pPr>
      <w:r>
        <w:rPr>
          <w:rFonts w:ascii="仿宋_GB2312" w:eastAsia="仿宋_GB2312" w:hint="eastAsia"/>
          <w:sz w:val="28"/>
          <w:szCs w:val="28"/>
        </w:rPr>
        <w:t>2024年度使用一般公共预算财政拨款安排基本支出</w:t>
      </w:r>
      <w:r>
        <w:rPr>
          <w:rFonts w:ascii="仿宋_GB2312" w:eastAsia="仿宋_GB2312"/>
          <w:sz w:val="28"/>
          <w:szCs w:val="28"/>
        </w:rPr>
        <w:t>4731</w:t>
      </w:r>
      <w:r>
        <w:rPr>
          <w:rFonts w:ascii="仿宋_GB2312" w:eastAsia="仿宋_GB2312" w:hint="eastAsia"/>
          <w:sz w:val="28"/>
          <w:szCs w:val="28"/>
        </w:rPr>
        <w:t>.00万元，使用政府性基金财政拨款安排基本支出</w:t>
      </w:r>
      <w:r>
        <w:rPr>
          <w:rFonts w:ascii="仿宋_GB2312" w:eastAsia="仿宋_GB2312"/>
          <w:sz w:val="28"/>
          <w:szCs w:val="28"/>
        </w:rPr>
        <w:t>0</w:t>
      </w:r>
      <w:r>
        <w:rPr>
          <w:rFonts w:ascii="仿宋_GB2312" w:eastAsia="仿宋_GB2312" w:hint="eastAsia"/>
          <w:sz w:val="28"/>
          <w:szCs w:val="28"/>
        </w:rPr>
        <w:t>万元，（1）工资福利支出包括基本工资</w:t>
      </w:r>
      <w:r>
        <w:rPr>
          <w:rFonts w:ascii="仿宋_GB2312" w:eastAsia="仿宋_GB2312"/>
          <w:sz w:val="28"/>
          <w:szCs w:val="28"/>
        </w:rPr>
        <w:t>、津贴补贴、奖金、伙食补助费、绩效工资、</w:t>
      </w:r>
      <w:r>
        <w:rPr>
          <w:rFonts w:ascii="仿宋_GB2312" w:eastAsia="仿宋_GB2312" w:hint="eastAsia"/>
          <w:sz w:val="28"/>
          <w:szCs w:val="28"/>
        </w:rPr>
        <w:t>其他</w:t>
      </w:r>
      <w:r>
        <w:rPr>
          <w:rFonts w:ascii="仿宋_GB2312" w:eastAsia="仿宋_GB2312"/>
          <w:sz w:val="28"/>
          <w:szCs w:val="28"/>
        </w:rPr>
        <w:t>社会保障缴费、其他工资福利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；（2）商品和服务支出包括</w:t>
      </w:r>
      <w:r>
        <w:rPr>
          <w:rFonts w:ascii="仿宋_GB2312" w:eastAsia="仿宋_GB2312"/>
          <w:sz w:val="28"/>
          <w:szCs w:val="28"/>
        </w:rPr>
        <w:t>办公费、印刷费、咨询费、手续费、水费、电费、邮电费、取暖费、物业管理费、差旅费、因公出国（境）费、维修（护）费、租赁费、会议费、培训费、公务接待费、专用材料费、劳务费、委托业务费、工会经费、福利费、公务用车运行维护费、其他交通费、其他商品和服务</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；（3）对个人和家庭补助支出包括</w:t>
      </w:r>
      <w:r>
        <w:rPr>
          <w:rFonts w:ascii="仿宋_GB2312" w:eastAsia="仿宋_GB2312"/>
          <w:sz w:val="28"/>
          <w:szCs w:val="28"/>
        </w:rPr>
        <w:t>离休费、退休费、抚恤金、生活补助、</w:t>
      </w:r>
      <w:r>
        <w:rPr>
          <w:rFonts w:ascii="仿宋_GB2312" w:eastAsia="仿宋_GB2312" w:hint="eastAsia"/>
          <w:sz w:val="28"/>
          <w:szCs w:val="28"/>
        </w:rPr>
        <w:t>救济费</w:t>
      </w:r>
      <w:r>
        <w:rPr>
          <w:rFonts w:ascii="仿宋_GB2312" w:eastAsia="仿宋_GB2312"/>
          <w:sz w:val="28"/>
          <w:szCs w:val="28"/>
        </w:rPr>
        <w:t>、医疗费</w:t>
      </w:r>
      <w:r>
        <w:rPr>
          <w:rFonts w:ascii="仿宋_GB2312" w:eastAsia="仿宋_GB2312" w:hint="eastAsia"/>
          <w:sz w:val="28"/>
          <w:szCs w:val="28"/>
        </w:rPr>
        <w:t>补助</w:t>
      </w:r>
      <w:r>
        <w:rPr>
          <w:rFonts w:ascii="仿宋_GB2312" w:eastAsia="仿宋_GB2312"/>
          <w:sz w:val="28"/>
          <w:szCs w:val="28"/>
        </w:rPr>
        <w:t>、助学金、奖励金</w:t>
      </w:r>
      <w:r>
        <w:rPr>
          <w:rFonts w:ascii="仿宋_GB2312" w:eastAsia="仿宋_GB2312" w:hint="eastAsia"/>
          <w:sz w:val="28"/>
          <w:szCs w:val="28"/>
        </w:rPr>
        <w:t>、</w:t>
      </w:r>
      <w:r>
        <w:rPr>
          <w:rFonts w:ascii="仿宋_GB2312" w:eastAsia="仿宋_GB2312"/>
          <w:sz w:val="28"/>
          <w:szCs w:val="28"/>
        </w:rPr>
        <w:t>其他对个人和家庭的补助</w:t>
      </w:r>
      <w:r>
        <w:rPr>
          <w:rFonts w:ascii="仿宋_GB2312" w:eastAsia="仿宋_GB2312" w:hint="eastAsia"/>
          <w:sz w:val="28"/>
          <w:szCs w:val="28"/>
        </w:rPr>
        <w:t>等</w:t>
      </w:r>
      <w:r>
        <w:rPr>
          <w:rFonts w:ascii="仿宋_GB2312" w:eastAsia="仿宋_GB2312"/>
          <w:sz w:val="28"/>
          <w:szCs w:val="28"/>
        </w:rPr>
        <w:t>支出</w:t>
      </w:r>
      <w:r>
        <w:rPr>
          <w:rFonts w:ascii="仿宋_GB2312" w:eastAsia="仿宋_GB2312" w:hint="eastAsia"/>
          <w:sz w:val="28"/>
          <w:szCs w:val="28"/>
        </w:rPr>
        <w:t>。（4）其他资本性支出包括</w:t>
      </w:r>
      <w:r>
        <w:rPr>
          <w:rFonts w:ascii="仿宋_GB2312" w:eastAsia="仿宋_GB2312"/>
          <w:sz w:val="28"/>
          <w:szCs w:val="28"/>
        </w:rPr>
        <w:t>办公设备购置、专用设备购置</w:t>
      </w:r>
      <w:r>
        <w:rPr>
          <w:rFonts w:ascii="仿宋_GB2312" w:eastAsia="仿宋_GB2312" w:hint="eastAsia"/>
          <w:sz w:val="28"/>
          <w:szCs w:val="28"/>
        </w:rPr>
        <w:t>等</w:t>
      </w:r>
      <w:r>
        <w:rPr>
          <w:rFonts w:ascii="仿宋_GB2312" w:eastAsia="仿宋_GB2312"/>
          <w:sz w:val="28"/>
          <w:szCs w:val="28"/>
        </w:rPr>
        <w:t>。</w:t>
      </w:r>
    </w:p>
    <w:p w:rsidR="004007A4" w:rsidRPr="004007A4" w:rsidRDefault="004007A4" w:rsidP="004007A4">
      <w:pPr>
        <w:pStyle w:val="2"/>
      </w:pPr>
    </w:p>
    <w:p w:rsidR="00CE5E83" w:rsidRDefault="00974ED3">
      <w:pPr>
        <w:autoSpaceDE w:val="0"/>
        <w:autoSpaceDN w:val="0"/>
        <w:adjustRightInd w:val="0"/>
        <w:spacing w:line="580" w:lineRule="exact"/>
        <w:rPr>
          <w:rFonts w:ascii="仿宋_GB2312" w:eastAsia="仿宋_GB2312"/>
          <w:b/>
          <w:sz w:val="32"/>
          <w:szCs w:val="32"/>
        </w:rPr>
      </w:pPr>
      <w:r>
        <w:rPr>
          <w:rFonts w:ascii="仿宋_GB2312" w:eastAsia="仿宋_GB2312"/>
          <w:b/>
          <w:sz w:val="32"/>
          <w:szCs w:val="32"/>
        </w:rPr>
        <w:tab/>
      </w:r>
    </w:p>
    <w:p w:rsidR="00CE5E83" w:rsidRDefault="00CE5E83">
      <w:pPr>
        <w:pStyle w:val="2"/>
        <w:rPr>
          <w:rFonts w:ascii="仿宋_GB2312" w:eastAsia="仿宋_GB2312"/>
          <w:sz w:val="32"/>
        </w:rPr>
      </w:pPr>
    </w:p>
    <w:p w:rsidR="00CE5E83" w:rsidRDefault="00CE5E83">
      <w:pPr>
        <w:rPr>
          <w:rFonts w:ascii="仿宋_GB2312" w:eastAsia="仿宋_GB2312"/>
          <w:b/>
          <w:sz w:val="32"/>
          <w:szCs w:val="32"/>
        </w:rPr>
      </w:pPr>
    </w:p>
    <w:p w:rsidR="00CE5E83" w:rsidRDefault="00CE5E83">
      <w:pPr>
        <w:tabs>
          <w:tab w:val="center" w:pos="6979"/>
        </w:tabs>
        <w:jc w:val="center"/>
        <w:rPr>
          <w:rFonts w:ascii="宋体" w:hAnsi="宋体" w:cs="宋体"/>
          <w:b/>
          <w:bCs/>
          <w:spacing w:val="40"/>
          <w:kern w:val="0"/>
          <w:sz w:val="32"/>
          <w:szCs w:val="32"/>
        </w:rPr>
      </w:pPr>
    </w:p>
    <w:p w:rsidR="00CE5E83" w:rsidRDefault="00974ED3">
      <w:pPr>
        <w:tabs>
          <w:tab w:val="center" w:pos="6979"/>
        </w:tabs>
        <w:jc w:val="center"/>
        <w:rPr>
          <w:rFonts w:ascii="宋体" w:hAnsi="宋体" w:cs="宋体"/>
          <w:b/>
          <w:spacing w:val="40"/>
          <w:kern w:val="0"/>
          <w:sz w:val="32"/>
          <w:szCs w:val="32"/>
        </w:rPr>
      </w:pPr>
      <w:r>
        <w:rPr>
          <w:rFonts w:ascii="宋体" w:hAnsi="宋体" w:cs="宋体" w:hint="eastAsia"/>
          <w:b/>
          <w:bCs/>
          <w:spacing w:val="40"/>
          <w:kern w:val="0"/>
          <w:sz w:val="32"/>
          <w:szCs w:val="32"/>
        </w:rPr>
        <w:t>第三部分</w:t>
      </w:r>
      <w:r>
        <w:rPr>
          <w:rFonts w:ascii="宋体" w:hAnsi="宋体" w:hint="eastAsia"/>
          <w:b/>
          <w:spacing w:val="40"/>
          <w:sz w:val="32"/>
          <w:szCs w:val="32"/>
        </w:rPr>
        <w:t>2024年度</w:t>
      </w:r>
      <w:r>
        <w:rPr>
          <w:rFonts w:ascii="宋体" w:hAnsi="宋体" w:cs="宋体" w:hint="eastAsia"/>
          <w:b/>
          <w:spacing w:val="40"/>
          <w:kern w:val="0"/>
          <w:sz w:val="32"/>
          <w:szCs w:val="32"/>
        </w:rPr>
        <w:t>其他重要事项的情况说明</w:t>
      </w:r>
    </w:p>
    <w:p w:rsidR="00CE5E83" w:rsidRDefault="00974ED3">
      <w:pPr>
        <w:spacing w:line="560" w:lineRule="exact"/>
        <w:ind w:firstLineChars="200" w:firstLine="560"/>
        <w:rPr>
          <w:rFonts w:ascii="黑体" w:eastAsia="黑体"/>
          <w:sz w:val="28"/>
          <w:szCs w:val="28"/>
        </w:rPr>
      </w:pPr>
      <w:r>
        <w:rPr>
          <w:rFonts w:ascii="黑体" w:eastAsia="黑体" w:hint="eastAsia"/>
          <w:sz w:val="28"/>
          <w:szCs w:val="28"/>
        </w:rPr>
        <w:t>一、“三公”经费财政拨款决算情况</w:t>
      </w:r>
    </w:p>
    <w:p w:rsidR="00CE5E83" w:rsidRDefault="00974ED3">
      <w:pPr>
        <w:spacing w:line="560" w:lineRule="exact"/>
        <w:ind w:firstLineChars="200" w:firstLine="560"/>
        <w:rPr>
          <w:rFonts w:ascii="仿宋_GB2312" w:eastAsia="仿宋_GB2312"/>
          <w:sz w:val="28"/>
          <w:szCs w:val="28"/>
        </w:rPr>
      </w:pPr>
      <w:r>
        <w:rPr>
          <w:rFonts w:ascii="仿宋_GB2312" w:eastAsia="仿宋_GB2312" w:hint="eastAsia"/>
          <w:sz w:val="28"/>
          <w:szCs w:val="28"/>
        </w:rPr>
        <w:t>本单位无此项支出。</w:t>
      </w:r>
    </w:p>
    <w:p w:rsidR="00CE5E83" w:rsidRDefault="00974ED3">
      <w:pPr>
        <w:tabs>
          <w:tab w:val="center" w:pos="6979"/>
        </w:tabs>
        <w:ind w:firstLineChars="198" w:firstLine="554"/>
        <w:rPr>
          <w:rFonts w:ascii="黑体" w:eastAsia="黑体"/>
          <w:sz w:val="28"/>
          <w:szCs w:val="28"/>
        </w:rPr>
      </w:pPr>
      <w:r>
        <w:rPr>
          <w:rFonts w:ascii="黑体" w:eastAsia="黑体" w:hint="eastAsia"/>
          <w:sz w:val="28"/>
          <w:szCs w:val="28"/>
        </w:rPr>
        <w:t>二、机关运行经费支出情况</w:t>
      </w:r>
    </w:p>
    <w:p w:rsidR="00CE5E83" w:rsidRDefault="00974ED3">
      <w:pPr>
        <w:ind w:firstLineChars="192" w:firstLine="538"/>
        <w:rPr>
          <w:rFonts w:ascii="仿宋_GB2312" w:eastAsia="仿宋_GB2312"/>
          <w:sz w:val="28"/>
          <w:szCs w:val="28"/>
        </w:rPr>
      </w:pPr>
      <w:r>
        <w:rPr>
          <w:rFonts w:ascii="仿宋_GB2312" w:eastAsia="仿宋_GB2312" w:hint="eastAsia"/>
          <w:sz w:val="28"/>
          <w:szCs w:val="28"/>
        </w:rPr>
        <w:t>我单位不在机关运行经费统计范围之内。</w:t>
      </w:r>
    </w:p>
    <w:p w:rsidR="00CE5E83" w:rsidRDefault="00974ED3">
      <w:pPr>
        <w:ind w:left="540"/>
        <w:rPr>
          <w:rFonts w:ascii="黑体" w:eastAsia="黑体"/>
          <w:sz w:val="28"/>
          <w:szCs w:val="28"/>
        </w:rPr>
      </w:pPr>
      <w:r>
        <w:rPr>
          <w:rFonts w:ascii="黑体" w:eastAsia="黑体" w:hint="eastAsia"/>
          <w:sz w:val="28"/>
          <w:szCs w:val="28"/>
        </w:rPr>
        <w:t>三、政府采购支出情况</w:t>
      </w:r>
    </w:p>
    <w:p w:rsidR="00CE5E83" w:rsidRDefault="00974ED3">
      <w:pPr>
        <w:ind w:firstLineChars="192" w:firstLine="538"/>
        <w:rPr>
          <w:rFonts w:ascii="仿宋_GB2312" w:eastAsia="仿宋_GB2312"/>
          <w:sz w:val="28"/>
          <w:szCs w:val="28"/>
        </w:rPr>
      </w:pPr>
      <w:r>
        <w:rPr>
          <w:rFonts w:ascii="仿宋_GB2312" w:eastAsia="仿宋_GB2312" w:hint="eastAsia"/>
          <w:sz w:val="28"/>
          <w:szCs w:val="28"/>
        </w:rPr>
        <w:t>2024年度政府采购支出总额</w:t>
      </w:r>
      <w:r>
        <w:rPr>
          <w:rFonts w:ascii="仿宋_GB2312" w:eastAsia="仿宋_GB2312"/>
          <w:sz w:val="28"/>
          <w:szCs w:val="28"/>
        </w:rPr>
        <w:t>280.54</w:t>
      </w:r>
      <w:r>
        <w:rPr>
          <w:rFonts w:ascii="仿宋_GB2312" w:eastAsia="仿宋_GB2312" w:hint="eastAsia"/>
          <w:sz w:val="28"/>
          <w:szCs w:val="28"/>
        </w:rPr>
        <w:t>万元，其中：政府采购货物支出</w:t>
      </w:r>
      <w:r>
        <w:rPr>
          <w:rFonts w:ascii="仿宋_GB2312" w:eastAsia="仿宋_GB2312"/>
          <w:sz w:val="28"/>
          <w:szCs w:val="28"/>
        </w:rPr>
        <w:t>72.7</w:t>
      </w:r>
      <w:r>
        <w:rPr>
          <w:rFonts w:ascii="仿宋_GB2312" w:eastAsia="仿宋_GB2312" w:hint="eastAsia"/>
          <w:sz w:val="28"/>
          <w:szCs w:val="28"/>
        </w:rPr>
        <w:t>7万元，政府采购工程支出</w:t>
      </w:r>
      <w:r>
        <w:rPr>
          <w:rFonts w:ascii="仿宋_GB2312" w:eastAsia="仿宋_GB2312"/>
          <w:sz w:val="28"/>
          <w:szCs w:val="28"/>
        </w:rPr>
        <w:t>0</w:t>
      </w:r>
      <w:r>
        <w:rPr>
          <w:rFonts w:ascii="仿宋_GB2312" w:eastAsia="仿宋_GB2312" w:hint="eastAsia"/>
          <w:sz w:val="28"/>
          <w:szCs w:val="28"/>
        </w:rPr>
        <w:t>万元，政府采购服务支出</w:t>
      </w:r>
      <w:r>
        <w:rPr>
          <w:rFonts w:ascii="仿宋_GB2312" w:eastAsia="仿宋_GB2312"/>
          <w:sz w:val="28"/>
          <w:szCs w:val="28"/>
        </w:rPr>
        <w:t>207.77</w:t>
      </w:r>
      <w:r>
        <w:rPr>
          <w:rFonts w:ascii="仿宋_GB2312" w:eastAsia="仿宋_GB2312" w:hint="eastAsia"/>
          <w:sz w:val="28"/>
          <w:szCs w:val="28"/>
        </w:rPr>
        <w:t>万元。授予中小企业合同金额</w:t>
      </w:r>
      <w:r>
        <w:rPr>
          <w:rFonts w:ascii="仿宋_GB2312" w:eastAsia="仿宋_GB2312"/>
          <w:sz w:val="28"/>
          <w:szCs w:val="28"/>
        </w:rPr>
        <w:t>277.59</w:t>
      </w:r>
      <w:r>
        <w:rPr>
          <w:rFonts w:ascii="仿宋_GB2312" w:eastAsia="仿宋_GB2312" w:hint="eastAsia"/>
          <w:sz w:val="28"/>
          <w:szCs w:val="28"/>
        </w:rPr>
        <w:t>万元，占政府采购支出总额的98.95%，其中：授予小微企业合同金额</w:t>
      </w:r>
      <w:r>
        <w:rPr>
          <w:rFonts w:ascii="仿宋_GB2312" w:eastAsia="仿宋_GB2312"/>
          <w:sz w:val="28"/>
          <w:szCs w:val="28"/>
        </w:rPr>
        <w:t>150.13</w:t>
      </w:r>
      <w:r>
        <w:rPr>
          <w:rFonts w:ascii="仿宋_GB2312" w:eastAsia="仿宋_GB2312" w:hint="eastAsia"/>
          <w:sz w:val="28"/>
          <w:szCs w:val="28"/>
        </w:rPr>
        <w:t>万元，占政府采购支出总额的</w:t>
      </w:r>
      <w:r>
        <w:rPr>
          <w:rFonts w:ascii="仿宋_GB2312" w:eastAsia="仿宋_GB2312"/>
          <w:sz w:val="28"/>
          <w:szCs w:val="28"/>
        </w:rPr>
        <w:t>53.51</w:t>
      </w:r>
      <w:r>
        <w:rPr>
          <w:rFonts w:ascii="仿宋_GB2312" w:eastAsia="仿宋_GB2312" w:hint="eastAsia"/>
          <w:sz w:val="28"/>
          <w:szCs w:val="28"/>
        </w:rPr>
        <w:t>%。</w:t>
      </w:r>
    </w:p>
    <w:p w:rsidR="00CE5E83" w:rsidRDefault="00974ED3">
      <w:pPr>
        <w:ind w:firstLineChars="200" w:firstLine="560"/>
        <w:rPr>
          <w:rFonts w:ascii="黑体" w:eastAsia="黑体"/>
          <w:sz w:val="28"/>
          <w:szCs w:val="28"/>
          <w:highlight w:val="yellow"/>
        </w:rPr>
      </w:pPr>
      <w:r>
        <w:rPr>
          <w:rFonts w:ascii="黑体" w:eastAsia="黑体" w:hint="eastAsia"/>
          <w:sz w:val="28"/>
          <w:szCs w:val="28"/>
        </w:rPr>
        <w:t>四、国有资产占用情况</w:t>
      </w:r>
    </w:p>
    <w:p w:rsidR="00CE5E83" w:rsidRDefault="00974ED3">
      <w:pPr>
        <w:ind w:firstLineChars="200" w:firstLine="560"/>
        <w:rPr>
          <w:rFonts w:ascii="仿宋_GB2312" w:eastAsia="仿宋_GB2312"/>
          <w:sz w:val="32"/>
          <w:szCs w:val="32"/>
        </w:rPr>
      </w:pPr>
      <w:r>
        <w:rPr>
          <w:rFonts w:ascii="仿宋_GB2312" w:eastAsia="仿宋_GB2312" w:hint="eastAsia"/>
          <w:sz w:val="28"/>
          <w:szCs w:val="28"/>
        </w:rPr>
        <w:t>截至12月31日，北京市地热调查研究所共有车辆2台；单位价值100万元（含）以上的设备0台（套）。</w:t>
      </w:r>
    </w:p>
    <w:p w:rsidR="00CE5E83" w:rsidRDefault="00974ED3">
      <w:pPr>
        <w:ind w:firstLineChars="192" w:firstLine="538"/>
        <w:rPr>
          <w:rFonts w:ascii="黑体" w:eastAsia="黑体"/>
          <w:sz w:val="28"/>
          <w:szCs w:val="28"/>
        </w:rPr>
      </w:pPr>
      <w:r>
        <w:rPr>
          <w:rFonts w:ascii="黑体" w:eastAsia="黑体" w:hint="eastAsia"/>
          <w:sz w:val="28"/>
          <w:szCs w:val="28"/>
        </w:rPr>
        <w:t>五</w:t>
      </w:r>
      <w:r>
        <w:rPr>
          <w:rFonts w:ascii="黑体" w:eastAsia="黑体"/>
          <w:sz w:val="28"/>
          <w:szCs w:val="28"/>
        </w:rPr>
        <w:t>、政府购买服务</w:t>
      </w:r>
      <w:r>
        <w:rPr>
          <w:rFonts w:ascii="黑体" w:eastAsia="黑体" w:hint="eastAsia"/>
          <w:sz w:val="28"/>
          <w:szCs w:val="28"/>
        </w:rPr>
        <w:t>支出</w:t>
      </w:r>
      <w:r>
        <w:rPr>
          <w:rFonts w:ascii="黑体" w:eastAsia="黑体"/>
          <w:sz w:val="28"/>
          <w:szCs w:val="28"/>
        </w:rPr>
        <w:t>说明</w:t>
      </w:r>
    </w:p>
    <w:p w:rsidR="00CE5E83" w:rsidRDefault="00974ED3">
      <w:pPr>
        <w:ind w:firstLineChars="192" w:firstLine="538"/>
        <w:rPr>
          <w:rFonts w:ascii="仿宋_GB2312" w:eastAsia="仿宋_GB2312"/>
          <w:sz w:val="28"/>
          <w:szCs w:val="28"/>
        </w:rPr>
      </w:pPr>
      <w:r>
        <w:rPr>
          <w:rFonts w:ascii="仿宋_GB2312" w:eastAsia="仿宋_GB2312" w:hint="eastAsia"/>
          <w:sz w:val="28"/>
          <w:szCs w:val="28"/>
        </w:rPr>
        <w:t>2024年度</w:t>
      </w:r>
      <w:r>
        <w:rPr>
          <w:rFonts w:ascii="仿宋_GB2312" w:eastAsia="仿宋_GB2312"/>
          <w:sz w:val="28"/>
          <w:szCs w:val="28"/>
        </w:rPr>
        <w:t>政府购买服务决算0</w:t>
      </w:r>
      <w:r>
        <w:rPr>
          <w:rFonts w:ascii="仿宋_GB2312" w:eastAsia="仿宋_GB2312" w:hint="eastAsia"/>
          <w:sz w:val="28"/>
          <w:szCs w:val="28"/>
        </w:rPr>
        <w:t>万元。</w:t>
      </w:r>
    </w:p>
    <w:p w:rsidR="00CE5E83" w:rsidRDefault="00974ED3">
      <w:pPr>
        <w:ind w:firstLineChars="200" w:firstLine="560"/>
        <w:jc w:val="left"/>
        <w:rPr>
          <w:rFonts w:ascii="仿宋_GB2312" w:eastAsia="仿宋_GB2312"/>
          <w:color w:val="000000"/>
          <w:sz w:val="32"/>
          <w:szCs w:val="32"/>
        </w:rPr>
      </w:pPr>
      <w:r>
        <w:rPr>
          <w:rFonts w:ascii="黑体" w:eastAsia="黑体" w:hint="eastAsia"/>
          <w:sz w:val="28"/>
          <w:szCs w:val="28"/>
        </w:rPr>
        <w:t>六、</w:t>
      </w:r>
      <w:r>
        <w:rPr>
          <w:rFonts w:ascii="黑体" w:eastAsia="黑体"/>
          <w:sz w:val="28"/>
          <w:szCs w:val="28"/>
        </w:rPr>
        <w:t>专业名词解释</w:t>
      </w:r>
    </w:p>
    <w:p w:rsidR="00CE5E83" w:rsidRDefault="00974ED3">
      <w:pPr>
        <w:ind w:firstLineChars="200" w:firstLine="560"/>
        <w:rPr>
          <w:rFonts w:ascii="仿宋_GB2312" w:eastAsia="仿宋_GB2312"/>
          <w:sz w:val="28"/>
          <w:szCs w:val="28"/>
        </w:rPr>
      </w:pPr>
      <w:r>
        <w:rPr>
          <w:rFonts w:ascii="仿宋_GB2312" w:eastAsia="仿宋_GB2312" w:hint="eastAsia"/>
          <w:sz w:val="28"/>
          <w:szCs w:val="28"/>
        </w:rPr>
        <w:lastRenderedPageBreak/>
        <w:t>1.基本支出：指为保障机构正常运转、完成日常工作任务而发生的人员支出和公用支出。</w:t>
      </w:r>
    </w:p>
    <w:p w:rsidR="00CE5E83" w:rsidRDefault="00974ED3">
      <w:pPr>
        <w:ind w:firstLineChars="200" w:firstLine="560"/>
        <w:rPr>
          <w:rFonts w:ascii="仿宋_GB2312" w:eastAsia="仿宋_GB2312"/>
          <w:sz w:val="28"/>
          <w:szCs w:val="28"/>
        </w:rPr>
      </w:pPr>
      <w:r>
        <w:rPr>
          <w:rFonts w:ascii="仿宋_GB2312" w:eastAsia="仿宋_GB2312" w:hint="eastAsia"/>
          <w:sz w:val="28"/>
          <w:szCs w:val="28"/>
        </w:rPr>
        <w:t>2.项目支出：指在基本支出之外为完成特定行政任务或事业发展目标所发生的支出。</w:t>
      </w:r>
    </w:p>
    <w:p w:rsidR="00CE5E83" w:rsidRDefault="00974ED3">
      <w:pPr>
        <w:ind w:firstLineChars="200" w:firstLine="560"/>
        <w:rPr>
          <w:rFonts w:ascii="仿宋_GB2312" w:eastAsia="仿宋_GB2312" w:hAnsi="宋体"/>
          <w:sz w:val="28"/>
          <w:szCs w:val="28"/>
        </w:rPr>
      </w:pPr>
      <w:r>
        <w:rPr>
          <w:rFonts w:ascii="仿宋_GB2312" w:eastAsia="仿宋_GB2312" w:hint="eastAsia"/>
          <w:sz w:val="28"/>
          <w:szCs w:val="28"/>
        </w:rPr>
        <w:t>3.“三公”经费：</w:t>
      </w:r>
      <w:r>
        <w:rPr>
          <w:rFonts w:ascii="仿宋_GB2312" w:eastAsia="仿宋_GB2312" w:hAnsi="宋体" w:hint="eastAsia"/>
          <w:sz w:val="28"/>
          <w:szCs w:val="28"/>
        </w:rPr>
        <w:t>是指单位通过财政拨款资金安排的因公出国（境）费、公务用车购置及运行费和公务接待费。其中，因公出国（境）费指单位公务出国（境）的国际旅费、国外城市间交通费、住宿费、伙食费、培训费、公杂费等支出；公务用车购置及运行费指单位公务用车购置支出（含车辆购置税、牌照费）及单位按规定保留的公务用车燃料费、维修费、过路过桥费、保险费、安全奖励费等支出；公务接待费指单位按规定开支的各类公务接待（含外宾接待）支出。</w:t>
      </w:r>
    </w:p>
    <w:p w:rsidR="00CE5E83" w:rsidRDefault="00974ED3">
      <w:pPr>
        <w:ind w:firstLineChars="200" w:firstLine="560"/>
        <w:rPr>
          <w:rFonts w:ascii="仿宋_GB2312" w:eastAsia="仿宋_GB2312" w:hAnsi="宋体"/>
          <w:sz w:val="28"/>
          <w:szCs w:val="28"/>
        </w:rPr>
      </w:pPr>
      <w:r>
        <w:rPr>
          <w:rFonts w:ascii="仿宋_GB2312" w:eastAsia="仿宋_GB2312" w:hint="eastAsia"/>
          <w:sz w:val="28"/>
          <w:szCs w:val="28"/>
        </w:rPr>
        <w:t>4</w:t>
      </w:r>
      <w:r>
        <w:rPr>
          <w:rFonts w:ascii="仿宋_GB2312" w:eastAsia="仿宋_GB2312"/>
          <w:sz w:val="28"/>
          <w:szCs w:val="28"/>
        </w:rPr>
        <w:t>.</w:t>
      </w:r>
      <w:r>
        <w:rPr>
          <w:rFonts w:ascii="仿宋_GB2312" w:eastAsia="仿宋_GB2312" w:hint="eastAsia"/>
          <w:sz w:val="28"/>
          <w:szCs w:val="28"/>
        </w:rPr>
        <w:t>机关运行经费：</w:t>
      </w:r>
      <w:r>
        <w:rPr>
          <w:rFonts w:ascii="仿宋_GB2312" w:eastAsia="仿宋_GB2312" w:hAnsi="宋体" w:hint="eastAsia"/>
          <w:sz w:val="28"/>
          <w:szCs w:val="28"/>
        </w:rPr>
        <w:t>指为</w:t>
      </w:r>
      <w:r>
        <w:rPr>
          <w:rFonts w:ascii="仿宋_GB2312" w:eastAsia="仿宋_GB2312" w:hAnsi="宋体"/>
          <w:sz w:val="28"/>
          <w:szCs w:val="28"/>
        </w:rPr>
        <w:t>保障</w:t>
      </w:r>
      <w:r>
        <w:rPr>
          <w:rFonts w:ascii="仿宋_GB2312" w:eastAsia="仿宋_GB2312" w:hAnsi="宋体" w:hint="eastAsia"/>
          <w:sz w:val="28"/>
          <w:szCs w:val="28"/>
        </w:rPr>
        <w:t>行政单位（含参照公务员法管理事业单位）运行用于</w:t>
      </w:r>
      <w:r>
        <w:rPr>
          <w:rFonts w:ascii="仿宋_GB2312" w:eastAsia="仿宋_GB2312" w:hAnsi="宋体"/>
          <w:sz w:val="28"/>
          <w:szCs w:val="28"/>
        </w:rPr>
        <w:t>购买货物和服务的各项资金</w:t>
      </w:r>
      <w:r>
        <w:rPr>
          <w:rFonts w:ascii="仿宋_GB2312" w:eastAsia="仿宋_GB2312" w:hAnsi="宋体" w:hint="eastAsia"/>
          <w:sz w:val="28"/>
          <w:szCs w:val="28"/>
        </w:rPr>
        <w:t>，包括办公及印刷费、邮电费、差旅费、会议费、福利费、日常维修费、专用材料及一般设备购置费、办公用房水电费、办公用房取暖费、办公用房物业管理费、公务用车运行维护费以及其他费用。</w:t>
      </w:r>
    </w:p>
    <w:p w:rsidR="00CE5E83" w:rsidRDefault="00974ED3">
      <w:pPr>
        <w:ind w:firstLineChars="150" w:firstLine="420"/>
        <w:rPr>
          <w:rFonts w:ascii="仿宋_GB2312" w:eastAsia="仿宋_GB2312"/>
          <w:sz w:val="28"/>
          <w:szCs w:val="28"/>
        </w:rPr>
      </w:pPr>
      <w:r>
        <w:rPr>
          <w:rFonts w:ascii="仿宋_GB2312" w:eastAsia="仿宋_GB2312" w:hint="eastAsia"/>
          <w:sz w:val="28"/>
          <w:szCs w:val="28"/>
        </w:rPr>
        <w:t>5</w:t>
      </w:r>
      <w:r>
        <w:rPr>
          <w:rFonts w:ascii="仿宋_GB2312" w:eastAsia="仿宋_GB2312"/>
          <w:sz w:val="28"/>
          <w:szCs w:val="28"/>
        </w:rPr>
        <w:t>.</w:t>
      </w:r>
      <w:r>
        <w:rPr>
          <w:rFonts w:ascii="仿宋_GB2312" w:eastAsia="仿宋_GB2312" w:hint="eastAsia"/>
          <w:sz w:val="28"/>
          <w:szCs w:val="28"/>
        </w:rPr>
        <w:t>政府采购</w:t>
      </w:r>
      <w:r>
        <w:rPr>
          <w:rFonts w:ascii="仿宋_GB2312" w:eastAsia="仿宋_GB2312"/>
          <w:sz w:val="28"/>
          <w:szCs w:val="28"/>
        </w:rPr>
        <w:t>：</w:t>
      </w:r>
      <w:r>
        <w:rPr>
          <w:rFonts w:ascii="仿宋_GB2312" w:eastAsia="仿宋_GB2312" w:hint="eastAsia"/>
          <w:sz w:val="28"/>
          <w:szCs w:val="28"/>
        </w:rPr>
        <w:t>指</w:t>
      </w:r>
      <w:r>
        <w:rPr>
          <w:rFonts w:ascii="仿宋_GB2312" w:eastAsia="仿宋_GB2312"/>
          <w:sz w:val="28"/>
          <w:szCs w:val="28"/>
        </w:rPr>
        <w:t>各级国家机关、事业单位和团体组织，使用</w:t>
      </w:r>
      <w:r>
        <w:rPr>
          <w:rFonts w:ascii="仿宋_GB2312" w:eastAsia="仿宋_GB2312" w:hint="eastAsia"/>
          <w:sz w:val="28"/>
          <w:szCs w:val="28"/>
        </w:rPr>
        <w:t>财政性</w:t>
      </w:r>
      <w:r>
        <w:rPr>
          <w:rFonts w:ascii="仿宋_GB2312" w:eastAsia="仿宋_GB2312"/>
          <w:sz w:val="28"/>
          <w:szCs w:val="28"/>
        </w:rPr>
        <w:t>资金采购依法制定的集中目录以内的或者采购限额标准以上的货物、工程和服务的行为</w:t>
      </w:r>
      <w:r>
        <w:rPr>
          <w:rFonts w:ascii="仿宋_GB2312" w:eastAsia="仿宋_GB2312" w:hint="eastAsia"/>
          <w:sz w:val="28"/>
          <w:szCs w:val="28"/>
        </w:rPr>
        <w:t>，</w:t>
      </w:r>
      <w:r>
        <w:rPr>
          <w:rFonts w:ascii="仿宋_GB2312" w:eastAsia="仿宋_GB2312"/>
          <w:sz w:val="28"/>
          <w:szCs w:val="28"/>
        </w:rPr>
        <w:t>是规范财政支出管理和强化预算约束的有效措施。</w:t>
      </w:r>
    </w:p>
    <w:p w:rsidR="00CE5E83" w:rsidRDefault="00974ED3" w:rsidP="0059653B">
      <w:pPr>
        <w:ind w:firstLineChars="200" w:firstLine="560"/>
        <w:rPr>
          <w:rFonts w:ascii="仿宋_GB2312" w:eastAsia="仿宋_GB2312"/>
          <w:sz w:val="28"/>
          <w:szCs w:val="28"/>
        </w:rPr>
      </w:pPr>
      <w:r>
        <w:rPr>
          <w:rFonts w:ascii="仿宋_GB2312" w:eastAsia="仿宋_GB2312" w:hint="eastAsia"/>
          <w:sz w:val="28"/>
          <w:szCs w:val="28"/>
        </w:rPr>
        <w:t>6</w:t>
      </w:r>
      <w:r>
        <w:rPr>
          <w:rFonts w:ascii="仿宋_GB2312" w:eastAsia="仿宋_GB2312"/>
          <w:sz w:val="28"/>
          <w:szCs w:val="28"/>
        </w:rPr>
        <w:t>.政府购买服务：</w:t>
      </w:r>
      <w:r>
        <w:rPr>
          <w:rFonts w:ascii="仿宋_GB2312" w:eastAsia="仿宋_GB2312" w:hint="eastAsia"/>
          <w:sz w:val="28"/>
          <w:szCs w:val="28"/>
        </w:rPr>
        <w:t>是指各级国家机关将属于自身职责范围且适合通过市场化方式提供的服务事项，按照政府采购方式和程序，交由符合条件的服务供应商承担，并根据服务数量和质量等因素向其支付费用的行为。</w:t>
      </w:r>
    </w:p>
    <w:p w:rsidR="0059653B" w:rsidRDefault="0059653B" w:rsidP="0059653B">
      <w:pPr>
        <w:ind w:firstLineChars="200" w:firstLine="560"/>
        <w:rPr>
          <w:rFonts w:ascii="仿宋_GB2312" w:eastAsia="仿宋_GB2312"/>
          <w:sz w:val="28"/>
          <w:szCs w:val="28"/>
        </w:rPr>
      </w:pPr>
      <w:r>
        <w:rPr>
          <w:rFonts w:ascii="仿宋_GB2312" w:eastAsia="仿宋_GB2312"/>
          <w:sz w:val="28"/>
          <w:szCs w:val="28"/>
        </w:rPr>
        <w:t>7</w:t>
      </w:r>
      <w:r w:rsidRPr="000F0CBE">
        <w:rPr>
          <w:rFonts w:ascii="仿宋_GB2312" w:eastAsia="仿宋_GB2312" w:hint="eastAsia"/>
          <w:sz w:val="28"/>
          <w:szCs w:val="28"/>
        </w:rPr>
        <w:t>.</w:t>
      </w:r>
      <w:r>
        <w:rPr>
          <w:rFonts w:ascii="仿宋_GB2312" w:eastAsia="仿宋_GB2312" w:hint="eastAsia"/>
          <w:sz w:val="28"/>
          <w:szCs w:val="28"/>
        </w:rPr>
        <w:t>“教育支出”（类）“进修及</w:t>
      </w:r>
      <w:r>
        <w:rPr>
          <w:rFonts w:ascii="仿宋_GB2312" w:eastAsia="仿宋_GB2312"/>
          <w:sz w:val="28"/>
          <w:szCs w:val="28"/>
        </w:rPr>
        <w:t>培训</w:t>
      </w:r>
      <w:r>
        <w:rPr>
          <w:rFonts w:ascii="仿宋_GB2312" w:eastAsia="仿宋_GB2312" w:hint="eastAsia"/>
          <w:sz w:val="28"/>
          <w:szCs w:val="28"/>
        </w:rPr>
        <w:t>”（款）“培训</w:t>
      </w:r>
      <w:r>
        <w:rPr>
          <w:rFonts w:ascii="仿宋_GB2312" w:eastAsia="仿宋_GB2312"/>
          <w:sz w:val="28"/>
          <w:szCs w:val="28"/>
        </w:rPr>
        <w:t>支出</w:t>
      </w:r>
      <w:r>
        <w:rPr>
          <w:rFonts w:ascii="仿宋_GB2312" w:eastAsia="仿宋_GB2312" w:hint="eastAsia"/>
          <w:sz w:val="28"/>
          <w:szCs w:val="28"/>
        </w:rPr>
        <w:t>”（项）</w:t>
      </w:r>
      <w:r w:rsidRPr="000F0CBE">
        <w:rPr>
          <w:rFonts w:ascii="仿宋_GB2312" w:eastAsia="仿宋_GB2312" w:hint="eastAsia"/>
          <w:sz w:val="28"/>
          <w:szCs w:val="28"/>
        </w:rPr>
        <w:t>：</w:t>
      </w:r>
      <w:r>
        <w:rPr>
          <w:rFonts w:ascii="仿宋_GB2312" w:eastAsia="仿宋_GB2312" w:hint="eastAsia"/>
          <w:sz w:val="28"/>
          <w:szCs w:val="28"/>
        </w:rPr>
        <w:t>反映</w:t>
      </w:r>
      <w:r>
        <w:rPr>
          <w:rFonts w:ascii="仿宋_GB2312" w:eastAsia="仿宋_GB2312"/>
          <w:sz w:val="28"/>
          <w:szCs w:val="28"/>
        </w:rPr>
        <w:t>各部门安排的用于培训的支出</w:t>
      </w:r>
      <w:r>
        <w:rPr>
          <w:rFonts w:ascii="仿宋_GB2312" w:eastAsia="仿宋_GB2312" w:hint="eastAsia"/>
          <w:sz w:val="28"/>
          <w:szCs w:val="28"/>
        </w:rPr>
        <w:t>。</w:t>
      </w:r>
      <w:r>
        <w:rPr>
          <w:rFonts w:ascii="仿宋_GB2312" w:eastAsia="仿宋_GB2312"/>
          <w:sz w:val="28"/>
          <w:szCs w:val="28"/>
        </w:rPr>
        <w:t>教育</w:t>
      </w:r>
      <w:r>
        <w:rPr>
          <w:rFonts w:ascii="仿宋_GB2312" w:eastAsia="仿宋_GB2312" w:hint="eastAsia"/>
          <w:sz w:val="28"/>
          <w:szCs w:val="28"/>
        </w:rPr>
        <w:t>部门</w:t>
      </w:r>
      <w:r>
        <w:rPr>
          <w:rFonts w:ascii="仿宋_GB2312" w:eastAsia="仿宋_GB2312"/>
          <w:sz w:val="28"/>
          <w:szCs w:val="28"/>
        </w:rPr>
        <w:t>的师资培训，党校、行政学院等专业干部</w:t>
      </w:r>
      <w:r>
        <w:rPr>
          <w:rFonts w:ascii="仿宋_GB2312" w:eastAsia="仿宋_GB2312" w:hint="eastAsia"/>
          <w:sz w:val="28"/>
          <w:szCs w:val="28"/>
        </w:rPr>
        <w:t>教育机构的</w:t>
      </w:r>
      <w:r>
        <w:rPr>
          <w:rFonts w:ascii="仿宋_GB2312" w:eastAsia="仿宋_GB2312"/>
          <w:sz w:val="28"/>
          <w:szCs w:val="28"/>
        </w:rPr>
        <w:t>支出，以及</w:t>
      </w:r>
      <w:r>
        <w:rPr>
          <w:rFonts w:ascii="仿宋_GB2312" w:eastAsia="仿宋_GB2312" w:hint="eastAsia"/>
          <w:sz w:val="28"/>
          <w:szCs w:val="28"/>
        </w:rPr>
        <w:t>退役</w:t>
      </w:r>
      <w:r>
        <w:rPr>
          <w:rFonts w:ascii="仿宋_GB2312" w:eastAsia="仿宋_GB2312"/>
          <w:sz w:val="28"/>
          <w:szCs w:val="28"/>
        </w:rPr>
        <w:t>士兵、转业士官的培训支出，</w:t>
      </w:r>
      <w:r>
        <w:rPr>
          <w:rFonts w:ascii="仿宋_GB2312" w:eastAsia="仿宋_GB2312" w:hint="eastAsia"/>
          <w:sz w:val="28"/>
          <w:szCs w:val="28"/>
        </w:rPr>
        <w:t>不在</w:t>
      </w:r>
      <w:r>
        <w:rPr>
          <w:rFonts w:ascii="仿宋_GB2312" w:eastAsia="仿宋_GB2312"/>
          <w:sz w:val="28"/>
          <w:szCs w:val="28"/>
        </w:rPr>
        <w:t>本科目</w:t>
      </w:r>
      <w:r>
        <w:rPr>
          <w:rFonts w:ascii="仿宋_GB2312" w:eastAsia="仿宋_GB2312" w:hint="eastAsia"/>
          <w:sz w:val="28"/>
          <w:szCs w:val="28"/>
        </w:rPr>
        <w:t>反映</w:t>
      </w:r>
      <w:r>
        <w:rPr>
          <w:rFonts w:ascii="仿宋_GB2312" w:eastAsia="仿宋_GB2312"/>
          <w:sz w:val="28"/>
          <w:szCs w:val="28"/>
        </w:rPr>
        <w:t>。</w:t>
      </w:r>
    </w:p>
    <w:p w:rsidR="0059653B" w:rsidRDefault="0059653B" w:rsidP="0059653B">
      <w:pPr>
        <w:ind w:firstLineChars="200" w:firstLine="560"/>
        <w:rPr>
          <w:rFonts w:ascii="仿宋_GB2312" w:eastAsia="仿宋_GB2312"/>
          <w:sz w:val="28"/>
          <w:szCs w:val="28"/>
        </w:rPr>
      </w:pPr>
      <w:r w:rsidRPr="00724FC0">
        <w:rPr>
          <w:rFonts w:ascii="仿宋_GB2312" w:eastAsia="仿宋_GB2312" w:hint="eastAsia"/>
          <w:sz w:val="28"/>
          <w:szCs w:val="28"/>
        </w:rPr>
        <w:lastRenderedPageBreak/>
        <w:t>8.</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”（款）“机关事业单位职业</w:t>
      </w:r>
      <w:r>
        <w:rPr>
          <w:rFonts w:ascii="仿宋_GB2312" w:eastAsia="仿宋_GB2312"/>
          <w:sz w:val="28"/>
          <w:szCs w:val="28"/>
        </w:rPr>
        <w:t>年金缴费支出</w:t>
      </w:r>
      <w:r>
        <w:rPr>
          <w:rFonts w:ascii="仿宋_GB2312" w:eastAsia="仿宋_GB2312" w:hint="eastAsia"/>
          <w:sz w:val="28"/>
          <w:szCs w:val="28"/>
        </w:rPr>
        <w:t>”（项）</w:t>
      </w:r>
      <w:r>
        <w:rPr>
          <w:rFonts w:ascii="仿宋_GB2312" w:eastAsia="仿宋_GB2312"/>
          <w:sz w:val="28"/>
          <w:szCs w:val="28"/>
        </w:rPr>
        <w:t>：反映机关事业单位实施养老保险</w:t>
      </w:r>
      <w:r>
        <w:rPr>
          <w:rFonts w:ascii="仿宋_GB2312" w:eastAsia="仿宋_GB2312" w:hint="eastAsia"/>
          <w:sz w:val="28"/>
          <w:szCs w:val="28"/>
        </w:rPr>
        <w:t>制度</w:t>
      </w:r>
      <w:r>
        <w:rPr>
          <w:rFonts w:ascii="仿宋_GB2312" w:eastAsia="仿宋_GB2312"/>
          <w:sz w:val="28"/>
          <w:szCs w:val="28"/>
        </w:rPr>
        <w:t>由</w:t>
      </w:r>
      <w:r>
        <w:rPr>
          <w:rFonts w:ascii="仿宋_GB2312" w:eastAsia="仿宋_GB2312" w:hint="eastAsia"/>
          <w:sz w:val="28"/>
          <w:szCs w:val="28"/>
        </w:rPr>
        <w:t>单位</w:t>
      </w:r>
      <w:r>
        <w:rPr>
          <w:rFonts w:ascii="仿宋_GB2312" w:eastAsia="仿宋_GB2312"/>
          <w:sz w:val="28"/>
          <w:szCs w:val="28"/>
        </w:rPr>
        <w:t>实际缴纳的职业年金（</w:t>
      </w:r>
      <w:r>
        <w:rPr>
          <w:rFonts w:ascii="仿宋_GB2312" w:eastAsia="仿宋_GB2312" w:hint="eastAsia"/>
          <w:sz w:val="28"/>
          <w:szCs w:val="28"/>
        </w:rPr>
        <w:t>含</w:t>
      </w:r>
      <w:r>
        <w:rPr>
          <w:rFonts w:ascii="仿宋_GB2312" w:eastAsia="仿宋_GB2312"/>
          <w:sz w:val="28"/>
          <w:szCs w:val="28"/>
        </w:rPr>
        <w:t>职业年金补记支出）</w:t>
      </w:r>
      <w:r>
        <w:rPr>
          <w:rFonts w:ascii="仿宋_GB2312" w:eastAsia="仿宋_GB2312" w:hint="eastAsia"/>
          <w:sz w:val="28"/>
          <w:szCs w:val="28"/>
        </w:rPr>
        <w:t>。</w:t>
      </w:r>
    </w:p>
    <w:p w:rsidR="0059653B" w:rsidRDefault="0059653B" w:rsidP="0059653B">
      <w:pPr>
        <w:ind w:firstLineChars="200" w:firstLine="560"/>
        <w:rPr>
          <w:rFonts w:ascii="仿宋_GB2312" w:eastAsia="仿宋_GB2312"/>
          <w:sz w:val="28"/>
          <w:szCs w:val="28"/>
        </w:rPr>
      </w:pPr>
      <w:r w:rsidRPr="004D2EB6">
        <w:rPr>
          <w:rFonts w:ascii="仿宋_GB2312" w:eastAsia="仿宋_GB2312"/>
          <w:sz w:val="28"/>
          <w:szCs w:val="28"/>
        </w:rPr>
        <w:t>9.</w:t>
      </w:r>
      <w:r>
        <w:rPr>
          <w:rFonts w:ascii="仿宋_GB2312" w:eastAsia="仿宋_GB2312" w:hint="eastAsia"/>
          <w:sz w:val="28"/>
          <w:szCs w:val="28"/>
        </w:rPr>
        <w:t>“社会保障和</w:t>
      </w:r>
      <w:r>
        <w:rPr>
          <w:rFonts w:ascii="仿宋_GB2312" w:eastAsia="仿宋_GB2312"/>
          <w:sz w:val="28"/>
          <w:szCs w:val="28"/>
        </w:rPr>
        <w:t>就业支出</w:t>
      </w:r>
      <w:r>
        <w:rPr>
          <w:rFonts w:ascii="仿宋_GB2312" w:eastAsia="仿宋_GB2312" w:hint="eastAsia"/>
          <w:sz w:val="28"/>
          <w:szCs w:val="28"/>
        </w:rPr>
        <w:t>”（类）“行政事业</w:t>
      </w:r>
      <w:r>
        <w:rPr>
          <w:rFonts w:ascii="仿宋_GB2312" w:eastAsia="仿宋_GB2312"/>
          <w:sz w:val="28"/>
          <w:szCs w:val="28"/>
        </w:rPr>
        <w:t>单位养老支出</w:t>
      </w:r>
      <w:r>
        <w:rPr>
          <w:rFonts w:ascii="仿宋_GB2312" w:eastAsia="仿宋_GB2312" w:hint="eastAsia"/>
          <w:sz w:val="28"/>
          <w:szCs w:val="28"/>
        </w:rPr>
        <w:t>”（款）“其他</w:t>
      </w:r>
      <w:r>
        <w:rPr>
          <w:rFonts w:ascii="仿宋_GB2312" w:eastAsia="仿宋_GB2312"/>
          <w:sz w:val="28"/>
          <w:szCs w:val="28"/>
        </w:rPr>
        <w:t>行政事业单位养老支出</w:t>
      </w:r>
      <w:r>
        <w:rPr>
          <w:rFonts w:ascii="仿宋_GB2312" w:eastAsia="仿宋_GB2312" w:hint="eastAsia"/>
          <w:sz w:val="28"/>
          <w:szCs w:val="28"/>
        </w:rPr>
        <w:t>”（项）</w:t>
      </w:r>
      <w:r>
        <w:rPr>
          <w:rFonts w:ascii="仿宋_GB2312" w:eastAsia="仿宋_GB2312"/>
          <w:sz w:val="28"/>
          <w:szCs w:val="28"/>
        </w:rPr>
        <w:t>：反映除上述项目以外其他用于行政事业单位养老方面的支出。</w:t>
      </w:r>
    </w:p>
    <w:p w:rsidR="0059653B" w:rsidRDefault="0059653B" w:rsidP="0059653B">
      <w:pPr>
        <w:ind w:firstLineChars="200" w:firstLine="560"/>
        <w:rPr>
          <w:rFonts w:ascii="仿宋_GB2312" w:eastAsia="仿宋_GB2312"/>
          <w:sz w:val="28"/>
          <w:szCs w:val="28"/>
        </w:rPr>
      </w:pPr>
      <w:r w:rsidRPr="00044026">
        <w:rPr>
          <w:rFonts w:ascii="仿宋_GB2312" w:eastAsia="仿宋_GB2312" w:hint="eastAsia"/>
          <w:sz w:val="28"/>
          <w:szCs w:val="28"/>
        </w:rPr>
        <w:t>10.</w:t>
      </w:r>
      <w:r>
        <w:rPr>
          <w:rFonts w:ascii="仿宋_GB2312" w:eastAsia="仿宋_GB2312" w:hint="eastAsia"/>
          <w:sz w:val="28"/>
          <w:szCs w:val="28"/>
        </w:rPr>
        <w:t>“卫生健康支出”（类）“行政事业</w:t>
      </w:r>
      <w:r>
        <w:rPr>
          <w:rFonts w:ascii="仿宋_GB2312" w:eastAsia="仿宋_GB2312"/>
          <w:sz w:val="28"/>
          <w:szCs w:val="28"/>
        </w:rPr>
        <w:t>单位医疗</w:t>
      </w:r>
      <w:r>
        <w:rPr>
          <w:rFonts w:ascii="仿宋_GB2312" w:eastAsia="仿宋_GB2312" w:hint="eastAsia"/>
          <w:sz w:val="28"/>
          <w:szCs w:val="28"/>
        </w:rPr>
        <w:t>”（款）“事业单位</w:t>
      </w:r>
      <w:r>
        <w:rPr>
          <w:rFonts w:ascii="仿宋_GB2312" w:eastAsia="仿宋_GB2312"/>
          <w:sz w:val="28"/>
          <w:szCs w:val="28"/>
        </w:rPr>
        <w:t>医疗</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财政部门安排的事业单位基本医疗保险缴费经费，未参加医疗保险的事业单位</w:t>
      </w:r>
      <w:r>
        <w:rPr>
          <w:rFonts w:ascii="仿宋_GB2312" w:eastAsia="仿宋_GB2312" w:hint="eastAsia"/>
          <w:sz w:val="28"/>
          <w:szCs w:val="28"/>
        </w:rPr>
        <w:t>的公费</w:t>
      </w:r>
      <w:r>
        <w:rPr>
          <w:rFonts w:ascii="仿宋_GB2312" w:eastAsia="仿宋_GB2312"/>
          <w:sz w:val="28"/>
          <w:szCs w:val="28"/>
        </w:rPr>
        <w:t>医疗经费</w:t>
      </w:r>
      <w:r>
        <w:rPr>
          <w:rFonts w:ascii="仿宋_GB2312" w:eastAsia="仿宋_GB2312" w:hint="eastAsia"/>
          <w:sz w:val="28"/>
          <w:szCs w:val="28"/>
        </w:rPr>
        <w:t>，</w:t>
      </w:r>
      <w:r>
        <w:rPr>
          <w:rFonts w:ascii="仿宋_GB2312" w:eastAsia="仿宋_GB2312"/>
          <w:sz w:val="28"/>
          <w:szCs w:val="28"/>
        </w:rPr>
        <w:t>按</w:t>
      </w:r>
      <w:r>
        <w:rPr>
          <w:rFonts w:ascii="仿宋_GB2312" w:eastAsia="仿宋_GB2312" w:hint="eastAsia"/>
          <w:sz w:val="28"/>
          <w:szCs w:val="28"/>
        </w:rPr>
        <w:t>国家规定享受</w:t>
      </w:r>
      <w:r>
        <w:rPr>
          <w:rFonts w:ascii="仿宋_GB2312" w:eastAsia="仿宋_GB2312"/>
          <w:sz w:val="28"/>
          <w:szCs w:val="28"/>
        </w:rPr>
        <w:t>离休人员待遇的医疗经费。</w:t>
      </w:r>
    </w:p>
    <w:p w:rsidR="0059653B" w:rsidRDefault="0059653B" w:rsidP="0059653B">
      <w:pPr>
        <w:ind w:firstLineChars="200" w:firstLine="560"/>
        <w:rPr>
          <w:rFonts w:ascii="仿宋_GB2312" w:eastAsia="仿宋_GB2312" w:hint="eastAsia"/>
          <w:sz w:val="28"/>
          <w:szCs w:val="28"/>
        </w:rPr>
      </w:pPr>
      <w:r w:rsidRPr="009A668A">
        <w:rPr>
          <w:rFonts w:ascii="仿宋_GB2312" w:eastAsia="仿宋_GB2312"/>
          <w:sz w:val="28"/>
          <w:szCs w:val="28"/>
        </w:rPr>
        <w:t>11.</w:t>
      </w:r>
      <w:r>
        <w:rPr>
          <w:rFonts w:ascii="仿宋_GB2312" w:eastAsia="仿宋_GB2312" w:hint="eastAsia"/>
          <w:sz w:val="28"/>
          <w:szCs w:val="28"/>
        </w:rPr>
        <w:t>“城乡社区支出”（类）“国有土地使用权</w:t>
      </w:r>
      <w:r>
        <w:rPr>
          <w:rFonts w:ascii="仿宋_GB2312" w:eastAsia="仿宋_GB2312"/>
          <w:sz w:val="28"/>
          <w:szCs w:val="28"/>
        </w:rPr>
        <w:t>出让收入安排的支出</w:t>
      </w:r>
      <w:r>
        <w:rPr>
          <w:rFonts w:ascii="仿宋_GB2312" w:eastAsia="仿宋_GB2312" w:hint="eastAsia"/>
          <w:sz w:val="28"/>
          <w:szCs w:val="28"/>
        </w:rPr>
        <w:t>”（款）“城市</w:t>
      </w:r>
      <w:r>
        <w:rPr>
          <w:rFonts w:ascii="仿宋_GB2312" w:eastAsia="仿宋_GB2312"/>
          <w:sz w:val="28"/>
          <w:szCs w:val="28"/>
        </w:rPr>
        <w:t>建设支出</w:t>
      </w:r>
      <w:r>
        <w:rPr>
          <w:rFonts w:ascii="仿宋_GB2312" w:eastAsia="仿宋_GB2312" w:hint="eastAsia"/>
          <w:sz w:val="28"/>
          <w:szCs w:val="28"/>
        </w:rPr>
        <w:t>”（项）</w:t>
      </w:r>
      <w:r>
        <w:rPr>
          <w:rFonts w:ascii="仿宋_GB2312" w:eastAsia="仿宋_GB2312"/>
          <w:sz w:val="28"/>
          <w:szCs w:val="28"/>
        </w:rPr>
        <w:t>：反映土地出让收入用于完善国有土地使用功能的配套设施建设和城市基础设施建设支出</w:t>
      </w:r>
      <w:r>
        <w:rPr>
          <w:rFonts w:ascii="仿宋_GB2312" w:eastAsia="仿宋_GB2312" w:hint="eastAsia"/>
          <w:sz w:val="28"/>
          <w:szCs w:val="28"/>
        </w:rPr>
        <w:t>.</w:t>
      </w:r>
    </w:p>
    <w:p w:rsidR="0059653B" w:rsidRDefault="0059653B" w:rsidP="0059653B">
      <w:pPr>
        <w:ind w:firstLineChars="200" w:firstLine="560"/>
        <w:rPr>
          <w:rFonts w:ascii="仿宋_GB2312" w:eastAsia="仿宋_GB2312"/>
          <w:sz w:val="28"/>
          <w:szCs w:val="28"/>
        </w:rPr>
      </w:pPr>
      <w:r>
        <w:rPr>
          <w:rFonts w:ascii="仿宋_GB2312" w:eastAsia="仿宋_GB2312" w:hint="eastAsia"/>
          <w:sz w:val="28"/>
          <w:szCs w:val="28"/>
        </w:rPr>
        <w:t>12.“自然资源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w:t>
      </w:r>
      <w:r w:rsidRPr="000F0CBE">
        <w:rPr>
          <w:rFonts w:ascii="仿宋_GB2312" w:eastAsia="仿宋_GB2312" w:hint="eastAsia"/>
          <w:sz w:val="28"/>
          <w:szCs w:val="28"/>
        </w:rPr>
        <w:t>自然资源调查与确权登记</w:t>
      </w:r>
      <w:r>
        <w:rPr>
          <w:rFonts w:ascii="仿宋_GB2312" w:eastAsia="仿宋_GB2312" w:hint="eastAsia"/>
          <w:sz w:val="28"/>
          <w:szCs w:val="28"/>
        </w:rPr>
        <w:t>”（项）</w:t>
      </w:r>
      <w:r w:rsidRPr="000F0CBE">
        <w:rPr>
          <w:rFonts w:ascii="仿宋_GB2312" w:eastAsia="仿宋_GB2312" w:hint="eastAsia"/>
          <w:sz w:val="28"/>
          <w:szCs w:val="28"/>
        </w:rPr>
        <w:t>：反映自然资源部门用于自然资源调查监测评价，自然资源统一确权登记等方面的支出。</w:t>
      </w:r>
    </w:p>
    <w:p w:rsidR="0059653B" w:rsidRDefault="0059653B" w:rsidP="0059653B">
      <w:pPr>
        <w:ind w:firstLineChars="200" w:firstLine="560"/>
        <w:rPr>
          <w:rFonts w:ascii="仿宋_GB2312" w:eastAsia="仿宋_GB2312"/>
          <w:sz w:val="28"/>
          <w:szCs w:val="28"/>
        </w:rPr>
      </w:pPr>
      <w:r w:rsidRPr="004905F8">
        <w:rPr>
          <w:rFonts w:ascii="仿宋_GB2312" w:eastAsia="仿宋_GB2312" w:hint="eastAsia"/>
          <w:sz w:val="28"/>
          <w:szCs w:val="28"/>
        </w:rPr>
        <w:t>13.</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”（款）“地质</w:t>
      </w:r>
      <w:r>
        <w:rPr>
          <w:rFonts w:ascii="仿宋_GB2312" w:eastAsia="仿宋_GB2312"/>
          <w:sz w:val="28"/>
          <w:szCs w:val="28"/>
        </w:rPr>
        <w:t>矿产资源与环境</w:t>
      </w:r>
      <w:r>
        <w:rPr>
          <w:rFonts w:ascii="仿宋_GB2312" w:eastAsia="仿宋_GB2312" w:hint="eastAsia"/>
          <w:sz w:val="28"/>
          <w:szCs w:val="28"/>
        </w:rPr>
        <w:t>调查”（项）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用于中国</w:t>
      </w:r>
      <w:r>
        <w:rPr>
          <w:rFonts w:ascii="仿宋_GB2312" w:eastAsia="仿宋_GB2312" w:hint="eastAsia"/>
          <w:sz w:val="28"/>
          <w:szCs w:val="28"/>
        </w:rPr>
        <w:t>地质</w:t>
      </w:r>
      <w:r>
        <w:rPr>
          <w:rFonts w:ascii="仿宋_GB2312" w:eastAsia="仿宋_GB2312"/>
          <w:sz w:val="28"/>
          <w:szCs w:val="28"/>
        </w:rPr>
        <w:t>调查局开展陆域海域</w:t>
      </w:r>
      <w:r>
        <w:rPr>
          <w:rFonts w:ascii="仿宋_GB2312" w:eastAsia="仿宋_GB2312" w:hint="eastAsia"/>
          <w:sz w:val="28"/>
          <w:szCs w:val="28"/>
        </w:rPr>
        <w:t>公益性</w:t>
      </w:r>
      <w:r>
        <w:rPr>
          <w:rFonts w:ascii="仿宋_GB2312" w:eastAsia="仿宋_GB2312"/>
          <w:sz w:val="28"/>
          <w:szCs w:val="28"/>
        </w:rPr>
        <w:t>基础地质调查、</w:t>
      </w:r>
      <w:r>
        <w:rPr>
          <w:rFonts w:ascii="仿宋_GB2312" w:eastAsia="仿宋_GB2312" w:hint="eastAsia"/>
          <w:sz w:val="28"/>
          <w:szCs w:val="28"/>
        </w:rPr>
        <w:t>重要能源资源</w:t>
      </w:r>
      <w:r>
        <w:rPr>
          <w:rFonts w:ascii="仿宋_GB2312" w:eastAsia="仿宋_GB2312"/>
          <w:sz w:val="28"/>
          <w:szCs w:val="28"/>
        </w:rPr>
        <w:t>矿产调查；服务国民经济和生态文明建设，开展重要经济区和城市群综合地质调查、地质灾害隐患和水文地质环境调查；服务</w:t>
      </w:r>
      <w:r>
        <w:rPr>
          <w:rFonts w:ascii="仿宋_GB2312" w:eastAsia="仿宋_GB2312"/>
          <w:sz w:val="28"/>
          <w:szCs w:val="28"/>
        </w:rPr>
        <w:t>“</w:t>
      </w:r>
      <w:r>
        <w:rPr>
          <w:rFonts w:ascii="仿宋_GB2312" w:eastAsia="仿宋_GB2312" w:hint="eastAsia"/>
          <w:sz w:val="28"/>
          <w:szCs w:val="28"/>
        </w:rPr>
        <w:t>一带一路</w:t>
      </w:r>
      <w:r>
        <w:rPr>
          <w:rFonts w:ascii="仿宋_GB2312" w:eastAsia="仿宋_GB2312"/>
          <w:sz w:val="28"/>
          <w:szCs w:val="28"/>
        </w:rPr>
        <w:t>”</w:t>
      </w:r>
      <w:r>
        <w:rPr>
          <w:rFonts w:ascii="仿宋_GB2312" w:eastAsia="仿宋_GB2312" w:hint="eastAsia"/>
          <w:sz w:val="28"/>
          <w:szCs w:val="28"/>
        </w:rPr>
        <w:t>、</w:t>
      </w:r>
      <w:r>
        <w:rPr>
          <w:rFonts w:ascii="仿宋_GB2312" w:eastAsia="仿宋_GB2312"/>
          <w:sz w:val="28"/>
          <w:szCs w:val="28"/>
        </w:rPr>
        <w:t>军民融合等国家重大战略，开展相关地质调查工作；以及加强地质资源环境信息化建设，提高地质调查能力和科技水平等相关支出。</w:t>
      </w:r>
    </w:p>
    <w:p w:rsidR="0059653B" w:rsidRDefault="0059653B" w:rsidP="0059653B">
      <w:pPr>
        <w:ind w:firstLineChars="200" w:firstLine="560"/>
        <w:rPr>
          <w:rFonts w:ascii="仿宋_GB2312" w:eastAsia="仿宋_GB2312"/>
          <w:sz w:val="28"/>
          <w:szCs w:val="28"/>
        </w:rPr>
      </w:pPr>
      <w:r w:rsidRPr="004905F8">
        <w:rPr>
          <w:rFonts w:ascii="仿宋_GB2312" w:eastAsia="仿宋_GB2312"/>
          <w:sz w:val="28"/>
          <w:szCs w:val="28"/>
        </w:rPr>
        <w:t>14.</w:t>
      </w:r>
      <w:r>
        <w:rPr>
          <w:rFonts w:ascii="仿宋_GB2312" w:eastAsia="仿宋_GB2312" w:hint="eastAsia"/>
          <w:sz w:val="28"/>
          <w:szCs w:val="28"/>
        </w:rPr>
        <w:t>“自然资源</w:t>
      </w:r>
      <w:r>
        <w:rPr>
          <w:rFonts w:ascii="仿宋_GB2312" w:eastAsia="仿宋_GB2312"/>
          <w:sz w:val="28"/>
          <w:szCs w:val="28"/>
        </w:rPr>
        <w:t>气象等支出</w:t>
      </w:r>
      <w:r>
        <w:rPr>
          <w:rFonts w:ascii="仿宋_GB2312" w:eastAsia="仿宋_GB2312" w:hint="eastAsia"/>
          <w:sz w:val="28"/>
          <w:szCs w:val="28"/>
        </w:rPr>
        <w:t>”（类）“自然资源</w:t>
      </w:r>
      <w:r>
        <w:rPr>
          <w:rFonts w:ascii="仿宋_GB2312" w:eastAsia="仿宋_GB2312"/>
          <w:sz w:val="28"/>
          <w:szCs w:val="28"/>
        </w:rPr>
        <w:t>事务</w:t>
      </w:r>
      <w:r>
        <w:rPr>
          <w:rFonts w:ascii="仿宋_GB2312" w:eastAsia="仿宋_GB2312" w:hint="eastAsia"/>
          <w:sz w:val="28"/>
          <w:szCs w:val="28"/>
        </w:rPr>
        <w:t>”（款）“事业</w:t>
      </w:r>
      <w:r>
        <w:rPr>
          <w:rFonts w:ascii="仿宋_GB2312" w:eastAsia="仿宋_GB2312"/>
          <w:sz w:val="28"/>
          <w:szCs w:val="28"/>
        </w:rPr>
        <w:t>运行</w:t>
      </w:r>
      <w:r>
        <w:rPr>
          <w:rFonts w:ascii="仿宋_GB2312" w:eastAsia="仿宋_GB2312" w:hint="eastAsia"/>
          <w:sz w:val="28"/>
          <w:szCs w:val="28"/>
        </w:rPr>
        <w:t>”（项）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事业单位的基本支出，不</w:t>
      </w:r>
      <w:r>
        <w:rPr>
          <w:rFonts w:ascii="仿宋_GB2312" w:eastAsia="仿宋_GB2312" w:hint="eastAsia"/>
          <w:sz w:val="28"/>
          <w:szCs w:val="28"/>
        </w:rPr>
        <w:t>包括</w:t>
      </w:r>
      <w:r>
        <w:rPr>
          <w:rFonts w:ascii="仿宋_GB2312" w:eastAsia="仿宋_GB2312"/>
          <w:sz w:val="28"/>
          <w:szCs w:val="28"/>
        </w:rPr>
        <w:t>行</w:t>
      </w:r>
      <w:r>
        <w:rPr>
          <w:rFonts w:ascii="仿宋_GB2312" w:eastAsia="仿宋_GB2312"/>
          <w:sz w:val="28"/>
          <w:szCs w:val="28"/>
        </w:rPr>
        <w:lastRenderedPageBreak/>
        <w:t>政单位（</w:t>
      </w:r>
      <w:r>
        <w:rPr>
          <w:rFonts w:ascii="仿宋_GB2312" w:eastAsia="仿宋_GB2312" w:hint="eastAsia"/>
          <w:sz w:val="28"/>
          <w:szCs w:val="28"/>
        </w:rPr>
        <w:t>包括实行</w:t>
      </w:r>
      <w:r>
        <w:rPr>
          <w:rFonts w:ascii="仿宋_GB2312" w:eastAsia="仿宋_GB2312"/>
          <w:sz w:val="28"/>
          <w:szCs w:val="28"/>
        </w:rPr>
        <w:t>公务员管理的事业单位）</w:t>
      </w:r>
      <w:r>
        <w:rPr>
          <w:rFonts w:ascii="仿宋_GB2312" w:eastAsia="仿宋_GB2312" w:hint="eastAsia"/>
          <w:sz w:val="28"/>
          <w:szCs w:val="28"/>
        </w:rPr>
        <w:t>后勤服务中心、</w:t>
      </w:r>
      <w:r>
        <w:rPr>
          <w:rFonts w:ascii="仿宋_GB2312" w:eastAsia="仿宋_GB2312"/>
          <w:sz w:val="28"/>
          <w:szCs w:val="28"/>
        </w:rPr>
        <w:t>医务室等</w:t>
      </w:r>
      <w:r>
        <w:rPr>
          <w:rFonts w:ascii="仿宋_GB2312" w:eastAsia="仿宋_GB2312" w:hint="eastAsia"/>
          <w:sz w:val="28"/>
          <w:szCs w:val="28"/>
        </w:rPr>
        <w:t>附属</w:t>
      </w:r>
      <w:r>
        <w:rPr>
          <w:rFonts w:ascii="仿宋_GB2312" w:eastAsia="仿宋_GB2312"/>
          <w:sz w:val="28"/>
          <w:szCs w:val="28"/>
        </w:rPr>
        <w:t>事业单位。</w:t>
      </w:r>
    </w:p>
    <w:p w:rsidR="00CE5E83" w:rsidRDefault="0059653B" w:rsidP="0059653B">
      <w:pPr>
        <w:ind w:firstLineChars="200" w:firstLine="560"/>
        <w:rPr>
          <w:rFonts w:ascii="仿宋_GB2312" w:eastAsia="仿宋_GB2312"/>
          <w:sz w:val="28"/>
          <w:szCs w:val="28"/>
        </w:rPr>
      </w:pPr>
      <w:r w:rsidRPr="006A2AA2">
        <w:rPr>
          <w:rFonts w:ascii="仿宋_GB2312" w:eastAsia="仿宋_GB2312"/>
          <w:sz w:val="28"/>
          <w:szCs w:val="28"/>
        </w:rPr>
        <w:t>15.</w:t>
      </w:r>
      <w:r>
        <w:rPr>
          <w:rFonts w:ascii="仿宋_GB2312" w:eastAsia="仿宋_GB2312" w:hint="eastAsia"/>
          <w:sz w:val="28"/>
          <w:szCs w:val="28"/>
        </w:rPr>
        <w:t>“灾害防治及</w:t>
      </w:r>
      <w:r>
        <w:rPr>
          <w:rFonts w:ascii="仿宋_GB2312" w:eastAsia="仿宋_GB2312"/>
          <w:sz w:val="28"/>
          <w:szCs w:val="28"/>
        </w:rPr>
        <w:t>应急管理支出</w:t>
      </w:r>
      <w:r>
        <w:rPr>
          <w:rFonts w:ascii="仿宋_GB2312" w:eastAsia="仿宋_GB2312" w:hint="eastAsia"/>
          <w:sz w:val="28"/>
          <w:szCs w:val="28"/>
        </w:rPr>
        <w:t>”（类）“自然灾害</w:t>
      </w:r>
      <w:r>
        <w:rPr>
          <w:rFonts w:ascii="仿宋_GB2312" w:eastAsia="仿宋_GB2312"/>
          <w:sz w:val="28"/>
          <w:szCs w:val="28"/>
        </w:rPr>
        <w:t>防治</w:t>
      </w:r>
      <w:r>
        <w:rPr>
          <w:rFonts w:ascii="仿宋_GB2312" w:eastAsia="仿宋_GB2312" w:hint="eastAsia"/>
          <w:sz w:val="28"/>
          <w:szCs w:val="28"/>
        </w:rPr>
        <w:t>”（款）“地质灾害防治”（项）</w:t>
      </w:r>
      <w:r>
        <w:rPr>
          <w:rFonts w:ascii="仿宋_GB2312" w:eastAsia="仿宋_GB2312"/>
          <w:sz w:val="28"/>
          <w:szCs w:val="28"/>
        </w:rPr>
        <w:t>：</w:t>
      </w:r>
      <w:r>
        <w:rPr>
          <w:rFonts w:ascii="仿宋_GB2312" w:eastAsia="仿宋_GB2312" w:hint="eastAsia"/>
          <w:sz w:val="28"/>
          <w:szCs w:val="28"/>
        </w:rPr>
        <w:t>反映</w:t>
      </w:r>
      <w:r>
        <w:rPr>
          <w:rFonts w:ascii="仿宋_GB2312" w:eastAsia="仿宋_GB2312"/>
          <w:sz w:val="28"/>
          <w:szCs w:val="28"/>
        </w:rPr>
        <w:t>防治地质灾害</w:t>
      </w:r>
      <w:r>
        <w:rPr>
          <w:rFonts w:ascii="仿宋_GB2312" w:eastAsia="仿宋_GB2312" w:hint="eastAsia"/>
          <w:sz w:val="28"/>
          <w:szCs w:val="28"/>
        </w:rPr>
        <w:t>方面</w:t>
      </w:r>
      <w:r>
        <w:rPr>
          <w:rFonts w:ascii="仿宋_GB2312" w:eastAsia="仿宋_GB2312"/>
          <w:sz w:val="28"/>
          <w:szCs w:val="28"/>
        </w:rPr>
        <w:t>的支出。</w:t>
      </w:r>
    </w:p>
    <w:p w:rsidR="00CE5E83" w:rsidRDefault="00CE5E83">
      <w:pPr>
        <w:pStyle w:val="2"/>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59653B" w:rsidRDefault="0059653B">
      <w:pPr>
        <w:ind w:firstLineChars="200" w:firstLine="640"/>
        <w:jc w:val="center"/>
        <w:rPr>
          <w:rFonts w:ascii="黑体" w:eastAsia="黑体"/>
          <w:sz w:val="32"/>
          <w:szCs w:val="32"/>
        </w:rPr>
      </w:pPr>
    </w:p>
    <w:p w:rsidR="00CE5E83" w:rsidRDefault="00974ED3">
      <w:pPr>
        <w:ind w:firstLineChars="200" w:firstLine="640"/>
        <w:jc w:val="center"/>
        <w:rPr>
          <w:rFonts w:ascii="黑体" w:eastAsia="黑体"/>
          <w:sz w:val="32"/>
          <w:szCs w:val="32"/>
        </w:rPr>
      </w:pPr>
      <w:bookmarkStart w:id="0" w:name="_GoBack"/>
      <w:bookmarkEnd w:id="0"/>
      <w:r>
        <w:rPr>
          <w:rFonts w:ascii="黑体" w:eastAsia="黑体" w:hint="eastAsia"/>
          <w:sz w:val="32"/>
          <w:szCs w:val="32"/>
        </w:rPr>
        <w:t>第四部分  2024年度单位绩效评价情况</w:t>
      </w:r>
    </w:p>
    <w:p w:rsidR="00CE5E83" w:rsidRDefault="00CE5E83">
      <w:pPr>
        <w:ind w:firstLineChars="200" w:firstLine="560"/>
        <w:rPr>
          <w:rFonts w:ascii="黑体" w:eastAsia="黑体"/>
          <w:sz w:val="28"/>
          <w:szCs w:val="28"/>
          <w:highlight w:val="yellow"/>
        </w:rPr>
      </w:pPr>
    </w:p>
    <w:p w:rsidR="00CE5E83" w:rsidRDefault="00974ED3">
      <w:pPr>
        <w:numPr>
          <w:ilvl w:val="0"/>
          <w:numId w:val="1"/>
        </w:numPr>
        <w:ind w:firstLineChars="200" w:firstLine="560"/>
        <w:rPr>
          <w:rFonts w:ascii="黑体" w:eastAsia="黑体"/>
          <w:sz w:val="28"/>
          <w:szCs w:val="28"/>
        </w:rPr>
      </w:pPr>
      <w:r>
        <w:rPr>
          <w:rFonts w:ascii="黑体" w:eastAsia="黑体" w:hint="eastAsia"/>
          <w:sz w:val="28"/>
          <w:szCs w:val="28"/>
        </w:rPr>
        <w:t>项目支出绩效评价报告</w:t>
      </w:r>
    </w:p>
    <w:p w:rsidR="00CE5E83" w:rsidRDefault="00974ED3">
      <w:pPr>
        <w:pStyle w:val="2"/>
        <w:ind w:firstLineChars="200" w:firstLine="560"/>
        <w:rPr>
          <w:rFonts w:ascii="仿宋_GB2312" w:eastAsia="仿宋_GB2312" w:hAnsi="Times New Roman"/>
          <w:b w:val="0"/>
          <w:bCs w:val="0"/>
          <w:kern w:val="2"/>
          <w:sz w:val="28"/>
          <w:szCs w:val="28"/>
        </w:rPr>
      </w:pPr>
      <w:r>
        <w:rPr>
          <w:rFonts w:ascii="仿宋_GB2312" w:eastAsia="仿宋_GB2312" w:hAnsi="Times New Roman" w:hint="eastAsia"/>
          <w:b w:val="0"/>
          <w:bCs w:val="0"/>
          <w:kern w:val="2"/>
          <w:sz w:val="28"/>
          <w:szCs w:val="28"/>
        </w:rPr>
        <w:t>项目支出绩效自评表详见附件。</w:t>
      </w:r>
    </w:p>
    <w:p w:rsidR="00CE5E83" w:rsidRDefault="00CE5E83">
      <w:pPr>
        <w:pStyle w:val="2"/>
      </w:pPr>
    </w:p>
    <w:p w:rsidR="00CE5E83" w:rsidRDefault="00CE5E83">
      <w:pPr>
        <w:spacing w:line="480" w:lineRule="exact"/>
        <w:rPr>
          <w:rFonts w:ascii="仿宋_GB2312" w:eastAsia="仿宋_GB2312" w:hAnsi="仿宋_GB2312" w:cs="仿宋_GB2312"/>
          <w:sz w:val="32"/>
          <w:szCs w:val="32"/>
        </w:rPr>
      </w:pPr>
    </w:p>
    <w:p w:rsidR="00CE5E83" w:rsidRDefault="00CE5E83">
      <w:pPr>
        <w:spacing w:line="480" w:lineRule="exact"/>
      </w:pPr>
    </w:p>
    <w:sectPr w:rsidR="00CE5E83">
      <w:footerReference w:type="even" r:id="rId10"/>
      <w:footerReference w:type="default" r:id="rId11"/>
      <w:pgSz w:w="16838" w:h="11906" w:orient="landscape"/>
      <w:pgMar w:top="1134" w:right="1134" w:bottom="1134" w:left="1134" w:header="851" w:footer="992" w:gutter="0"/>
      <w:cols w:space="720"/>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43F1" w:rsidRDefault="00E743F1">
      <w:r>
        <w:separator/>
      </w:r>
    </w:p>
  </w:endnote>
  <w:endnote w:type="continuationSeparator" w:id="0">
    <w:p w:rsidR="00E743F1" w:rsidRDefault="00E743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83" w:rsidRDefault="00974ED3">
    <w:pPr>
      <w:pStyle w:val="a7"/>
      <w:framePr w:wrap="around" w:vAnchor="text" w:hAnchor="margin" w:xAlign="center" w:y="1"/>
      <w:rPr>
        <w:rStyle w:val="ab"/>
      </w:rPr>
    </w:pPr>
    <w:r>
      <w:fldChar w:fldCharType="begin"/>
    </w:r>
    <w:r>
      <w:rPr>
        <w:rStyle w:val="ab"/>
      </w:rPr>
      <w:instrText xml:space="preserve">PAGE  </w:instrText>
    </w:r>
    <w:r>
      <w:fldChar w:fldCharType="separate"/>
    </w:r>
    <w:r w:rsidR="0059653B">
      <w:rPr>
        <w:rStyle w:val="ab"/>
        <w:noProof/>
      </w:rPr>
      <w:t>3</w:t>
    </w:r>
    <w:r>
      <w:fldChar w:fldCharType="end"/>
    </w:r>
  </w:p>
  <w:p w:rsidR="00CE5E83" w:rsidRDefault="00CE5E83">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83" w:rsidRDefault="00974ED3">
    <w:pPr>
      <w:pStyle w:val="a7"/>
      <w:framePr w:wrap="around" w:vAnchor="text" w:hAnchor="margin" w:xAlign="center" w:y="1"/>
      <w:rPr>
        <w:rStyle w:val="ab"/>
      </w:rPr>
    </w:pPr>
    <w:r>
      <w:fldChar w:fldCharType="begin"/>
    </w:r>
    <w:r>
      <w:rPr>
        <w:rStyle w:val="ab"/>
      </w:rPr>
      <w:instrText xml:space="preserve">PAGE  </w:instrText>
    </w:r>
    <w:r>
      <w:fldChar w:fldCharType="separate"/>
    </w:r>
    <w:r>
      <w:rPr>
        <w:rStyle w:val="ab"/>
      </w:rPr>
      <w:t>15</w:t>
    </w:r>
    <w:r>
      <w:fldChar w:fldCharType="end"/>
    </w:r>
  </w:p>
  <w:p w:rsidR="00CE5E83" w:rsidRDefault="00CE5E8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E83" w:rsidRDefault="00974ED3">
    <w:pPr>
      <w:pStyle w:val="a7"/>
      <w:framePr w:wrap="around" w:vAnchor="text" w:hAnchor="margin" w:xAlign="center" w:y="1"/>
      <w:rPr>
        <w:rStyle w:val="ab"/>
      </w:rPr>
    </w:pPr>
    <w:r>
      <w:fldChar w:fldCharType="begin"/>
    </w:r>
    <w:r>
      <w:rPr>
        <w:rStyle w:val="ab"/>
      </w:rPr>
      <w:instrText xml:space="preserve">PAGE  </w:instrText>
    </w:r>
    <w:r>
      <w:fldChar w:fldCharType="separate"/>
    </w:r>
    <w:r w:rsidR="0059653B">
      <w:rPr>
        <w:rStyle w:val="ab"/>
        <w:noProof/>
      </w:rPr>
      <w:t>9</w:t>
    </w:r>
    <w:r>
      <w:fldChar w:fldCharType="end"/>
    </w:r>
  </w:p>
  <w:p w:rsidR="00CE5E83" w:rsidRDefault="00CE5E8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43F1" w:rsidRDefault="00E743F1">
      <w:r>
        <w:separator/>
      </w:r>
    </w:p>
  </w:footnote>
  <w:footnote w:type="continuationSeparator" w:id="0">
    <w:p w:rsidR="00E743F1" w:rsidRDefault="00E743F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E84BE"/>
    <w:multiLevelType w:val="singleLevel"/>
    <w:tmpl w:val="8D7E84BE"/>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5"/>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mNWE4NzRhMTczNjJlZDE5ZTE5YTczN2QxMzcyMjAifQ=="/>
  </w:docVars>
  <w:rsids>
    <w:rsidRoot w:val="00100246"/>
    <w:rsid w:val="95F35EF6"/>
    <w:rsid w:val="9BFFD860"/>
    <w:rsid w:val="AC5F73DE"/>
    <w:rsid w:val="B5DDD2C8"/>
    <w:rsid w:val="B9DFABD9"/>
    <w:rsid w:val="BC0D83FC"/>
    <w:rsid w:val="BF3BDEFB"/>
    <w:rsid w:val="C75F6086"/>
    <w:rsid w:val="C7F7ED2D"/>
    <w:rsid w:val="CFAF854E"/>
    <w:rsid w:val="D8D7928E"/>
    <w:rsid w:val="D8FE3136"/>
    <w:rsid w:val="DDDE60B7"/>
    <w:rsid w:val="DE9F6A22"/>
    <w:rsid w:val="DF4FCE6A"/>
    <w:rsid w:val="E4FED278"/>
    <w:rsid w:val="EDAA365C"/>
    <w:rsid w:val="EDADFC12"/>
    <w:rsid w:val="F2FD229B"/>
    <w:rsid w:val="F7F709E9"/>
    <w:rsid w:val="F7FF3690"/>
    <w:rsid w:val="F9BD3900"/>
    <w:rsid w:val="FC8B9876"/>
    <w:rsid w:val="FEDFF218"/>
    <w:rsid w:val="FEDFFFFF"/>
    <w:rsid w:val="00003B03"/>
    <w:rsid w:val="000040E6"/>
    <w:rsid w:val="00011D72"/>
    <w:rsid w:val="00027CD5"/>
    <w:rsid w:val="00031B8E"/>
    <w:rsid w:val="00033EC1"/>
    <w:rsid w:val="00034224"/>
    <w:rsid w:val="00040275"/>
    <w:rsid w:val="0004719C"/>
    <w:rsid w:val="00047F6E"/>
    <w:rsid w:val="00051B00"/>
    <w:rsid w:val="000601B1"/>
    <w:rsid w:val="00063034"/>
    <w:rsid w:val="00066E19"/>
    <w:rsid w:val="0006752F"/>
    <w:rsid w:val="00071797"/>
    <w:rsid w:val="00071860"/>
    <w:rsid w:val="0007258E"/>
    <w:rsid w:val="00077A9E"/>
    <w:rsid w:val="00077F4A"/>
    <w:rsid w:val="00077FE5"/>
    <w:rsid w:val="00080447"/>
    <w:rsid w:val="00085663"/>
    <w:rsid w:val="00095948"/>
    <w:rsid w:val="00095C26"/>
    <w:rsid w:val="00096504"/>
    <w:rsid w:val="00096B86"/>
    <w:rsid w:val="000A07B0"/>
    <w:rsid w:val="000A1770"/>
    <w:rsid w:val="000A283C"/>
    <w:rsid w:val="000B15B7"/>
    <w:rsid w:val="000B70F1"/>
    <w:rsid w:val="000C4611"/>
    <w:rsid w:val="000D1B61"/>
    <w:rsid w:val="000D6854"/>
    <w:rsid w:val="000E0B26"/>
    <w:rsid w:val="000E3291"/>
    <w:rsid w:val="000F08FE"/>
    <w:rsid w:val="000F208B"/>
    <w:rsid w:val="000F2A48"/>
    <w:rsid w:val="000F49BE"/>
    <w:rsid w:val="00100246"/>
    <w:rsid w:val="0010682D"/>
    <w:rsid w:val="001073C6"/>
    <w:rsid w:val="00107DB5"/>
    <w:rsid w:val="00113613"/>
    <w:rsid w:val="0011483D"/>
    <w:rsid w:val="00115724"/>
    <w:rsid w:val="00130995"/>
    <w:rsid w:val="00131FF9"/>
    <w:rsid w:val="00132320"/>
    <w:rsid w:val="00135B6A"/>
    <w:rsid w:val="001369A7"/>
    <w:rsid w:val="001428C5"/>
    <w:rsid w:val="001503D8"/>
    <w:rsid w:val="00157540"/>
    <w:rsid w:val="0017111F"/>
    <w:rsid w:val="00173CF6"/>
    <w:rsid w:val="00180DAD"/>
    <w:rsid w:val="0018370E"/>
    <w:rsid w:val="001852E1"/>
    <w:rsid w:val="00191568"/>
    <w:rsid w:val="001A4277"/>
    <w:rsid w:val="001A7D2E"/>
    <w:rsid w:val="001B1DF9"/>
    <w:rsid w:val="001B1E93"/>
    <w:rsid w:val="001B375E"/>
    <w:rsid w:val="001B4A46"/>
    <w:rsid w:val="001B5E87"/>
    <w:rsid w:val="001B5E91"/>
    <w:rsid w:val="001B69BF"/>
    <w:rsid w:val="001B7988"/>
    <w:rsid w:val="001D78D9"/>
    <w:rsid w:val="001E0556"/>
    <w:rsid w:val="001E2355"/>
    <w:rsid w:val="001E2379"/>
    <w:rsid w:val="001E29A9"/>
    <w:rsid w:val="001F5857"/>
    <w:rsid w:val="00206EC3"/>
    <w:rsid w:val="0021047C"/>
    <w:rsid w:val="00211E4E"/>
    <w:rsid w:val="00213D1C"/>
    <w:rsid w:val="00214C3A"/>
    <w:rsid w:val="00217517"/>
    <w:rsid w:val="00222628"/>
    <w:rsid w:val="002253CB"/>
    <w:rsid w:val="002267A6"/>
    <w:rsid w:val="002326DE"/>
    <w:rsid w:val="00234314"/>
    <w:rsid w:val="00241724"/>
    <w:rsid w:val="0024390C"/>
    <w:rsid w:val="002441F4"/>
    <w:rsid w:val="00244204"/>
    <w:rsid w:val="002448A4"/>
    <w:rsid w:val="00245A0A"/>
    <w:rsid w:val="00246C42"/>
    <w:rsid w:val="002515CC"/>
    <w:rsid w:val="00253EC4"/>
    <w:rsid w:val="00254515"/>
    <w:rsid w:val="0026479D"/>
    <w:rsid w:val="002673C4"/>
    <w:rsid w:val="0027112B"/>
    <w:rsid w:val="00271C3F"/>
    <w:rsid w:val="00272460"/>
    <w:rsid w:val="00273070"/>
    <w:rsid w:val="0027394A"/>
    <w:rsid w:val="00274D50"/>
    <w:rsid w:val="002760D5"/>
    <w:rsid w:val="00276289"/>
    <w:rsid w:val="0028081D"/>
    <w:rsid w:val="0028458C"/>
    <w:rsid w:val="002911BD"/>
    <w:rsid w:val="00291C98"/>
    <w:rsid w:val="00294DE9"/>
    <w:rsid w:val="002A1488"/>
    <w:rsid w:val="002A4C2B"/>
    <w:rsid w:val="002B19D0"/>
    <w:rsid w:val="002B3682"/>
    <w:rsid w:val="002B5464"/>
    <w:rsid w:val="002C0443"/>
    <w:rsid w:val="002C12FB"/>
    <w:rsid w:val="002C24BC"/>
    <w:rsid w:val="002D03C6"/>
    <w:rsid w:val="002D0FDF"/>
    <w:rsid w:val="002D3955"/>
    <w:rsid w:val="002D68A9"/>
    <w:rsid w:val="002E06AE"/>
    <w:rsid w:val="002E4B75"/>
    <w:rsid w:val="002E68DD"/>
    <w:rsid w:val="002F17C2"/>
    <w:rsid w:val="002F32EE"/>
    <w:rsid w:val="002F4054"/>
    <w:rsid w:val="002F5574"/>
    <w:rsid w:val="00301D20"/>
    <w:rsid w:val="00302B19"/>
    <w:rsid w:val="00303428"/>
    <w:rsid w:val="003053C4"/>
    <w:rsid w:val="003058A3"/>
    <w:rsid w:val="00307DA5"/>
    <w:rsid w:val="0031169D"/>
    <w:rsid w:val="0031170D"/>
    <w:rsid w:val="00313E14"/>
    <w:rsid w:val="003167DD"/>
    <w:rsid w:val="00320C8B"/>
    <w:rsid w:val="00321BD8"/>
    <w:rsid w:val="00325687"/>
    <w:rsid w:val="00332C14"/>
    <w:rsid w:val="00335079"/>
    <w:rsid w:val="003352CE"/>
    <w:rsid w:val="00341D8E"/>
    <w:rsid w:val="003502B9"/>
    <w:rsid w:val="00351B8F"/>
    <w:rsid w:val="00353226"/>
    <w:rsid w:val="00353717"/>
    <w:rsid w:val="00354630"/>
    <w:rsid w:val="00365A24"/>
    <w:rsid w:val="003712DB"/>
    <w:rsid w:val="00373DDC"/>
    <w:rsid w:val="00382A86"/>
    <w:rsid w:val="00383BCC"/>
    <w:rsid w:val="00385243"/>
    <w:rsid w:val="003925D4"/>
    <w:rsid w:val="0039318C"/>
    <w:rsid w:val="00393366"/>
    <w:rsid w:val="003937DC"/>
    <w:rsid w:val="00393D75"/>
    <w:rsid w:val="003A2F2D"/>
    <w:rsid w:val="003A43AC"/>
    <w:rsid w:val="003A4EB6"/>
    <w:rsid w:val="003A7AE9"/>
    <w:rsid w:val="003A7BC5"/>
    <w:rsid w:val="003A7FF5"/>
    <w:rsid w:val="003B0352"/>
    <w:rsid w:val="003B4437"/>
    <w:rsid w:val="003B48C4"/>
    <w:rsid w:val="003B5E20"/>
    <w:rsid w:val="003B6DAD"/>
    <w:rsid w:val="003B735F"/>
    <w:rsid w:val="003C030C"/>
    <w:rsid w:val="003C55FC"/>
    <w:rsid w:val="003D0EC3"/>
    <w:rsid w:val="003D7274"/>
    <w:rsid w:val="003E4D82"/>
    <w:rsid w:val="003E5BC1"/>
    <w:rsid w:val="003F0D1B"/>
    <w:rsid w:val="003F1DD6"/>
    <w:rsid w:val="004007A4"/>
    <w:rsid w:val="00401087"/>
    <w:rsid w:val="00402E26"/>
    <w:rsid w:val="00405701"/>
    <w:rsid w:val="004110BC"/>
    <w:rsid w:val="0041271F"/>
    <w:rsid w:val="0041688E"/>
    <w:rsid w:val="004170EF"/>
    <w:rsid w:val="0042093C"/>
    <w:rsid w:val="004233DD"/>
    <w:rsid w:val="00424405"/>
    <w:rsid w:val="00425B25"/>
    <w:rsid w:val="00425D24"/>
    <w:rsid w:val="00426A4D"/>
    <w:rsid w:val="00427687"/>
    <w:rsid w:val="00433231"/>
    <w:rsid w:val="004334CA"/>
    <w:rsid w:val="0043506A"/>
    <w:rsid w:val="00435830"/>
    <w:rsid w:val="0043619C"/>
    <w:rsid w:val="0044475D"/>
    <w:rsid w:val="00444D1E"/>
    <w:rsid w:val="0044571A"/>
    <w:rsid w:val="0044705D"/>
    <w:rsid w:val="0045090E"/>
    <w:rsid w:val="00453E36"/>
    <w:rsid w:val="00457286"/>
    <w:rsid w:val="00461FA5"/>
    <w:rsid w:val="00463566"/>
    <w:rsid w:val="00464182"/>
    <w:rsid w:val="00471C52"/>
    <w:rsid w:val="0047460C"/>
    <w:rsid w:val="00474FF2"/>
    <w:rsid w:val="00480098"/>
    <w:rsid w:val="00484A93"/>
    <w:rsid w:val="00485E12"/>
    <w:rsid w:val="004865DA"/>
    <w:rsid w:val="0048779C"/>
    <w:rsid w:val="00487AB7"/>
    <w:rsid w:val="00487ED0"/>
    <w:rsid w:val="00491D09"/>
    <w:rsid w:val="0049682C"/>
    <w:rsid w:val="004A168E"/>
    <w:rsid w:val="004A4EC7"/>
    <w:rsid w:val="004B0003"/>
    <w:rsid w:val="004C020A"/>
    <w:rsid w:val="004C03A3"/>
    <w:rsid w:val="004C44B8"/>
    <w:rsid w:val="004C7629"/>
    <w:rsid w:val="004D0D5D"/>
    <w:rsid w:val="004E27DD"/>
    <w:rsid w:val="004E3350"/>
    <w:rsid w:val="004E5292"/>
    <w:rsid w:val="004F2C5B"/>
    <w:rsid w:val="004F641B"/>
    <w:rsid w:val="004F71F3"/>
    <w:rsid w:val="005052FA"/>
    <w:rsid w:val="005069E1"/>
    <w:rsid w:val="00507E59"/>
    <w:rsid w:val="005122B5"/>
    <w:rsid w:val="0052381C"/>
    <w:rsid w:val="005346B3"/>
    <w:rsid w:val="0054051C"/>
    <w:rsid w:val="00546A84"/>
    <w:rsid w:val="00547BE2"/>
    <w:rsid w:val="0055353D"/>
    <w:rsid w:val="0056187C"/>
    <w:rsid w:val="005738A7"/>
    <w:rsid w:val="00576B03"/>
    <w:rsid w:val="00581E1A"/>
    <w:rsid w:val="00591655"/>
    <w:rsid w:val="00591BEC"/>
    <w:rsid w:val="005940EA"/>
    <w:rsid w:val="00594448"/>
    <w:rsid w:val="0059653B"/>
    <w:rsid w:val="005A1D6F"/>
    <w:rsid w:val="005A4D82"/>
    <w:rsid w:val="005A52A6"/>
    <w:rsid w:val="005B0DEC"/>
    <w:rsid w:val="005B368E"/>
    <w:rsid w:val="005B6E69"/>
    <w:rsid w:val="005C0015"/>
    <w:rsid w:val="005C1E82"/>
    <w:rsid w:val="005C2BCE"/>
    <w:rsid w:val="005C2CA5"/>
    <w:rsid w:val="005C7062"/>
    <w:rsid w:val="005C7788"/>
    <w:rsid w:val="005D10B9"/>
    <w:rsid w:val="005D18DA"/>
    <w:rsid w:val="005E00DC"/>
    <w:rsid w:val="005E3BBC"/>
    <w:rsid w:val="005E3EC6"/>
    <w:rsid w:val="005E4E07"/>
    <w:rsid w:val="005E4E46"/>
    <w:rsid w:val="005E5275"/>
    <w:rsid w:val="005E7DC8"/>
    <w:rsid w:val="005E7EC9"/>
    <w:rsid w:val="005F7087"/>
    <w:rsid w:val="00606162"/>
    <w:rsid w:val="00611BE4"/>
    <w:rsid w:val="0061219B"/>
    <w:rsid w:val="00621419"/>
    <w:rsid w:val="00626446"/>
    <w:rsid w:val="00626BE8"/>
    <w:rsid w:val="00631827"/>
    <w:rsid w:val="00632804"/>
    <w:rsid w:val="006376DA"/>
    <w:rsid w:val="006459DA"/>
    <w:rsid w:val="006502E8"/>
    <w:rsid w:val="00654A2B"/>
    <w:rsid w:val="0065675C"/>
    <w:rsid w:val="0065793F"/>
    <w:rsid w:val="0066263B"/>
    <w:rsid w:val="0066713A"/>
    <w:rsid w:val="0067195C"/>
    <w:rsid w:val="006724F7"/>
    <w:rsid w:val="0067511A"/>
    <w:rsid w:val="0067539B"/>
    <w:rsid w:val="00675543"/>
    <w:rsid w:val="00677396"/>
    <w:rsid w:val="00677AD9"/>
    <w:rsid w:val="00681970"/>
    <w:rsid w:val="00690641"/>
    <w:rsid w:val="00690D88"/>
    <w:rsid w:val="00691844"/>
    <w:rsid w:val="00693DDF"/>
    <w:rsid w:val="00696F9E"/>
    <w:rsid w:val="006A374A"/>
    <w:rsid w:val="006A505E"/>
    <w:rsid w:val="006A513E"/>
    <w:rsid w:val="006A5265"/>
    <w:rsid w:val="006B0CB9"/>
    <w:rsid w:val="006B2609"/>
    <w:rsid w:val="006B2750"/>
    <w:rsid w:val="006B3678"/>
    <w:rsid w:val="006B7390"/>
    <w:rsid w:val="006C0084"/>
    <w:rsid w:val="006C107D"/>
    <w:rsid w:val="006C3600"/>
    <w:rsid w:val="006C4534"/>
    <w:rsid w:val="006C5205"/>
    <w:rsid w:val="006C75F6"/>
    <w:rsid w:val="006D3F53"/>
    <w:rsid w:val="006D60AF"/>
    <w:rsid w:val="006E4722"/>
    <w:rsid w:val="00701651"/>
    <w:rsid w:val="007049BF"/>
    <w:rsid w:val="00704E79"/>
    <w:rsid w:val="00707A26"/>
    <w:rsid w:val="0071120F"/>
    <w:rsid w:val="00716380"/>
    <w:rsid w:val="00722165"/>
    <w:rsid w:val="00724B1C"/>
    <w:rsid w:val="007428F0"/>
    <w:rsid w:val="007512EF"/>
    <w:rsid w:val="007551AC"/>
    <w:rsid w:val="0076101C"/>
    <w:rsid w:val="00763D87"/>
    <w:rsid w:val="007670B2"/>
    <w:rsid w:val="00771795"/>
    <w:rsid w:val="00774925"/>
    <w:rsid w:val="0079279F"/>
    <w:rsid w:val="00793E69"/>
    <w:rsid w:val="007A063C"/>
    <w:rsid w:val="007A16B0"/>
    <w:rsid w:val="007A19EA"/>
    <w:rsid w:val="007A6092"/>
    <w:rsid w:val="007A60B7"/>
    <w:rsid w:val="007A64A6"/>
    <w:rsid w:val="007A6EE1"/>
    <w:rsid w:val="007A7C89"/>
    <w:rsid w:val="007B1487"/>
    <w:rsid w:val="007B2A43"/>
    <w:rsid w:val="007B326F"/>
    <w:rsid w:val="007B6A58"/>
    <w:rsid w:val="007B6C06"/>
    <w:rsid w:val="007B7B78"/>
    <w:rsid w:val="007C32B1"/>
    <w:rsid w:val="007C7A22"/>
    <w:rsid w:val="007C7C62"/>
    <w:rsid w:val="007D1076"/>
    <w:rsid w:val="007D12B7"/>
    <w:rsid w:val="007D2A49"/>
    <w:rsid w:val="007D5E38"/>
    <w:rsid w:val="007D7AC4"/>
    <w:rsid w:val="007E0340"/>
    <w:rsid w:val="007E1D4A"/>
    <w:rsid w:val="007E53C0"/>
    <w:rsid w:val="007E7703"/>
    <w:rsid w:val="007F4558"/>
    <w:rsid w:val="007F64DF"/>
    <w:rsid w:val="008050EF"/>
    <w:rsid w:val="0080652C"/>
    <w:rsid w:val="0080715F"/>
    <w:rsid w:val="008113D6"/>
    <w:rsid w:val="00812BA7"/>
    <w:rsid w:val="00813A87"/>
    <w:rsid w:val="00813F63"/>
    <w:rsid w:val="00815F57"/>
    <w:rsid w:val="0081760B"/>
    <w:rsid w:val="008218AC"/>
    <w:rsid w:val="00825359"/>
    <w:rsid w:val="00825E13"/>
    <w:rsid w:val="00826F07"/>
    <w:rsid w:val="008337CB"/>
    <w:rsid w:val="00834A3C"/>
    <w:rsid w:val="008360A0"/>
    <w:rsid w:val="00837658"/>
    <w:rsid w:val="00837CD4"/>
    <w:rsid w:val="00837F78"/>
    <w:rsid w:val="008400EE"/>
    <w:rsid w:val="00840791"/>
    <w:rsid w:val="00845576"/>
    <w:rsid w:val="00850708"/>
    <w:rsid w:val="00851024"/>
    <w:rsid w:val="008526D7"/>
    <w:rsid w:val="0086238C"/>
    <w:rsid w:val="008655DC"/>
    <w:rsid w:val="0086732D"/>
    <w:rsid w:val="00870183"/>
    <w:rsid w:val="00875726"/>
    <w:rsid w:val="00877F10"/>
    <w:rsid w:val="0088225D"/>
    <w:rsid w:val="00882F8D"/>
    <w:rsid w:val="00884FB0"/>
    <w:rsid w:val="008853A5"/>
    <w:rsid w:val="008944DA"/>
    <w:rsid w:val="00894D78"/>
    <w:rsid w:val="008A6A18"/>
    <w:rsid w:val="008B033F"/>
    <w:rsid w:val="008B4003"/>
    <w:rsid w:val="008B7443"/>
    <w:rsid w:val="008C179E"/>
    <w:rsid w:val="008C2379"/>
    <w:rsid w:val="008C4FF7"/>
    <w:rsid w:val="008C5C4C"/>
    <w:rsid w:val="008C7056"/>
    <w:rsid w:val="008C706D"/>
    <w:rsid w:val="008D3145"/>
    <w:rsid w:val="008E1A54"/>
    <w:rsid w:val="008E1F95"/>
    <w:rsid w:val="008E36B6"/>
    <w:rsid w:val="008E4267"/>
    <w:rsid w:val="008E4847"/>
    <w:rsid w:val="008E5FF1"/>
    <w:rsid w:val="008E63D2"/>
    <w:rsid w:val="008E6E14"/>
    <w:rsid w:val="008F1528"/>
    <w:rsid w:val="008F1AE5"/>
    <w:rsid w:val="008F55D9"/>
    <w:rsid w:val="009057DE"/>
    <w:rsid w:val="00905F97"/>
    <w:rsid w:val="00906FA3"/>
    <w:rsid w:val="0091239D"/>
    <w:rsid w:val="00912825"/>
    <w:rsid w:val="009129B8"/>
    <w:rsid w:val="00912B99"/>
    <w:rsid w:val="00912C78"/>
    <w:rsid w:val="00927892"/>
    <w:rsid w:val="009319B9"/>
    <w:rsid w:val="009351E9"/>
    <w:rsid w:val="00937862"/>
    <w:rsid w:val="00942279"/>
    <w:rsid w:val="009524EB"/>
    <w:rsid w:val="00962013"/>
    <w:rsid w:val="00963942"/>
    <w:rsid w:val="0096716C"/>
    <w:rsid w:val="009672B2"/>
    <w:rsid w:val="00971C66"/>
    <w:rsid w:val="00972363"/>
    <w:rsid w:val="00974ED3"/>
    <w:rsid w:val="0098419C"/>
    <w:rsid w:val="009843EF"/>
    <w:rsid w:val="009867F2"/>
    <w:rsid w:val="00991347"/>
    <w:rsid w:val="00996018"/>
    <w:rsid w:val="0099738E"/>
    <w:rsid w:val="009A493E"/>
    <w:rsid w:val="009A531F"/>
    <w:rsid w:val="009A6931"/>
    <w:rsid w:val="009B1F9A"/>
    <w:rsid w:val="009B1FA9"/>
    <w:rsid w:val="009B349F"/>
    <w:rsid w:val="009B4293"/>
    <w:rsid w:val="009B6715"/>
    <w:rsid w:val="009C7B74"/>
    <w:rsid w:val="009D0BE2"/>
    <w:rsid w:val="009D114E"/>
    <w:rsid w:val="009D210F"/>
    <w:rsid w:val="009D309C"/>
    <w:rsid w:val="009D37B1"/>
    <w:rsid w:val="009D4717"/>
    <w:rsid w:val="009D694D"/>
    <w:rsid w:val="009E264E"/>
    <w:rsid w:val="009F0C98"/>
    <w:rsid w:val="009F0F81"/>
    <w:rsid w:val="009F2543"/>
    <w:rsid w:val="009F256D"/>
    <w:rsid w:val="009F341E"/>
    <w:rsid w:val="009F57CE"/>
    <w:rsid w:val="00A117CA"/>
    <w:rsid w:val="00A12225"/>
    <w:rsid w:val="00A14C18"/>
    <w:rsid w:val="00A25898"/>
    <w:rsid w:val="00A3071D"/>
    <w:rsid w:val="00A3182E"/>
    <w:rsid w:val="00A31A89"/>
    <w:rsid w:val="00A32F06"/>
    <w:rsid w:val="00A34934"/>
    <w:rsid w:val="00A34EFE"/>
    <w:rsid w:val="00A36546"/>
    <w:rsid w:val="00A4069C"/>
    <w:rsid w:val="00A413B5"/>
    <w:rsid w:val="00A429CB"/>
    <w:rsid w:val="00A44E87"/>
    <w:rsid w:val="00A5063C"/>
    <w:rsid w:val="00A52749"/>
    <w:rsid w:val="00A5422E"/>
    <w:rsid w:val="00A56EC1"/>
    <w:rsid w:val="00A6350C"/>
    <w:rsid w:val="00A6370B"/>
    <w:rsid w:val="00A63A73"/>
    <w:rsid w:val="00A6655C"/>
    <w:rsid w:val="00A66CBB"/>
    <w:rsid w:val="00A6704E"/>
    <w:rsid w:val="00A67EA4"/>
    <w:rsid w:val="00A773FF"/>
    <w:rsid w:val="00A83AA1"/>
    <w:rsid w:val="00A906F4"/>
    <w:rsid w:val="00A9343A"/>
    <w:rsid w:val="00A9706C"/>
    <w:rsid w:val="00A97B34"/>
    <w:rsid w:val="00AA1B5C"/>
    <w:rsid w:val="00AA7A27"/>
    <w:rsid w:val="00AB3FB0"/>
    <w:rsid w:val="00AB465D"/>
    <w:rsid w:val="00AB713D"/>
    <w:rsid w:val="00AC114C"/>
    <w:rsid w:val="00AC1478"/>
    <w:rsid w:val="00AC6C2D"/>
    <w:rsid w:val="00AC6E17"/>
    <w:rsid w:val="00AD2FF3"/>
    <w:rsid w:val="00AD7764"/>
    <w:rsid w:val="00AD7FE2"/>
    <w:rsid w:val="00AE1284"/>
    <w:rsid w:val="00AE1B18"/>
    <w:rsid w:val="00AE7339"/>
    <w:rsid w:val="00AF1B0B"/>
    <w:rsid w:val="00AF242C"/>
    <w:rsid w:val="00AF3CC4"/>
    <w:rsid w:val="00B05903"/>
    <w:rsid w:val="00B12C7A"/>
    <w:rsid w:val="00B12E10"/>
    <w:rsid w:val="00B22BC3"/>
    <w:rsid w:val="00B25865"/>
    <w:rsid w:val="00B272B6"/>
    <w:rsid w:val="00B2771B"/>
    <w:rsid w:val="00B336E9"/>
    <w:rsid w:val="00B33AE5"/>
    <w:rsid w:val="00B35BE5"/>
    <w:rsid w:val="00B46965"/>
    <w:rsid w:val="00B54ED0"/>
    <w:rsid w:val="00B55D47"/>
    <w:rsid w:val="00B6204E"/>
    <w:rsid w:val="00B649EC"/>
    <w:rsid w:val="00B728DD"/>
    <w:rsid w:val="00B72D43"/>
    <w:rsid w:val="00B74121"/>
    <w:rsid w:val="00B80ABA"/>
    <w:rsid w:val="00B859FF"/>
    <w:rsid w:val="00B85C1B"/>
    <w:rsid w:val="00B85FF0"/>
    <w:rsid w:val="00B86150"/>
    <w:rsid w:val="00B878F9"/>
    <w:rsid w:val="00B9044A"/>
    <w:rsid w:val="00B960F3"/>
    <w:rsid w:val="00B96A31"/>
    <w:rsid w:val="00BA05E6"/>
    <w:rsid w:val="00BA51B0"/>
    <w:rsid w:val="00BA6319"/>
    <w:rsid w:val="00BC03B0"/>
    <w:rsid w:val="00BC06A3"/>
    <w:rsid w:val="00BC0CEA"/>
    <w:rsid w:val="00BC2220"/>
    <w:rsid w:val="00BC26B9"/>
    <w:rsid w:val="00BC26FA"/>
    <w:rsid w:val="00BC4E01"/>
    <w:rsid w:val="00BC73F6"/>
    <w:rsid w:val="00BD1177"/>
    <w:rsid w:val="00BD1374"/>
    <w:rsid w:val="00BD3531"/>
    <w:rsid w:val="00BD4E35"/>
    <w:rsid w:val="00BE34CA"/>
    <w:rsid w:val="00BF116A"/>
    <w:rsid w:val="00C0623C"/>
    <w:rsid w:val="00C06A07"/>
    <w:rsid w:val="00C132B6"/>
    <w:rsid w:val="00C21A6C"/>
    <w:rsid w:val="00C24A10"/>
    <w:rsid w:val="00C27003"/>
    <w:rsid w:val="00C27597"/>
    <w:rsid w:val="00C32BD4"/>
    <w:rsid w:val="00C33E48"/>
    <w:rsid w:val="00C3618B"/>
    <w:rsid w:val="00C403FB"/>
    <w:rsid w:val="00C4316E"/>
    <w:rsid w:val="00C441A2"/>
    <w:rsid w:val="00C5076B"/>
    <w:rsid w:val="00C512D4"/>
    <w:rsid w:val="00C51CF4"/>
    <w:rsid w:val="00C531E2"/>
    <w:rsid w:val="00C53204"/>
    <w:rsid w:val="00C57E34"/>
    <w:rsid w:val="00C64659"/>
    <w:rsid w:val="00C662E9"/>
    <w:rsid w:val="00C66C2D"/>
    <w:rsid w:val="00C7190B"/>
    <w:rsid w:val="00C76852"/>
    <w:rsid w:val="00C77210"/>
    <w:rsid w:val="00C777FA"/>
    <w:rsid w:val="00C77989"/>
    <w:rsid w:val="00C811F4"/>
    <w:rsid w:val="00C81E51"/>
    <w:rsid w:val="00C87B73"/>
    <w:rsid w:val="00C92444"/>
    <w:rsid w:val="00C92FBB"/>
    <w:rsid w:val="00C93327"/>
    <w:rsid w:val="00C97B4D"/>
    <w:rsid w:val="00CA5602"/>
    <w:rsid w:val="00CA5CA9"/>
    <w:rsid w:val="00CA78E2"/>
    <w:rsid w:val="00CB1BBE"/>
    <w:rsid w:val="00CB65DB"/>
    <w:rsid w:val="00CB6BD9"/>
    <w:rsid w:val="00CC293A"/>
    <w:rsid w:val="00CE19F6"/>
    <w:rsid w:val="00CE5E83"/>
    <w:rsid w:val="00CE6B76"/>
    <w:rsid w:val="00CF366B"/>
    <w:rsid w:val="00CF5D9D"/>
    <w:rsid w:val="00CF606C"/>
    <w:rsid w:val="00CF7423"/>
    <w:rsid w:val="00D001F5"/>
    <w:rsid w:val="00D03E80"/>
    <w:rsid w:val="00D1505F"/>
    <w:rsid w:val="00D15B9F"/>
    <w:rsid w:val="00D15DD6"/>
    <w:rsid w:val="00D25548"/>
    <w:rsid w:val="00D2601F"/>
    <w:rsid w:val="00D27759"/>
    <w:rsid w:val="00D30028"/>
    <w:rsid w:val="00D325D3"/>
    <w:rsid w:val="00D408D6"/>
    <w:rsid w:val="00D511DD"/>
    <w:rsid w:val="00D55C2A"/>
    <w:rsid w:val="00D571C1"/>
    <w:rsid w:val="00D602F4"/>
    <w:rsid w:val="00D6457E"/>
    <w:rsid w:val="00D742E2"/>
    <w:rsid w:val="00D7580E"/>
    <w:rsid w:val="00D87DAF"/>
    <w:rsid w:val="00D9446D"/>
    <w:rsid w:val="00DA2994"/>
    <w:rsid w:val="00DB08E8"/>
    <w:rsid w:val="00DB0DED"/>
    <w:rsid w:val="00DB3073"/>
    <w:rsid w:val="00DB3BA9"/>
    <w:rsid w:val="00DB50FE"/>
    <w:rsid w:val="00DB5EDA"/>
    <w:rsid w:val="00DC2349"/>
    <w:rsid w:val="00DC3026"/>
    <w:rsid w:val="00DD1EDB"/>
    <w:rsid w:val="00DD57AA"/>
    <w:rsid w:val="00DE1578"/>
    <w:rsid w:val="00DE7F67"/>
    <w:rsid w:val="00DF0529"/>
    <w:rsid w:val="00DF09EF"/>
    <w:rsid w:val="00DF0D0F"/>
    <w:rsid w:val="00DF13D6"/>
    <w:rsid w:val="00DF27D6"/>
    <w:rsid w:val="00DF2BEA"/>
    <w:rsid w:val="00DF4488"/>
    <w:rsid w:val="00DF5B98"/>
    <w:rsid w:val="00DF6FA8"/>
    <w:rsid w:val="00DF701E"/>
    <w:rsid w:val="00DF7BE5"/>
    <w:rsid w:val="00E00D49"/>
    <w:rsid w:val="00E019A8"/>
    <w:rsid w:val="00E03A46"/>
    <w:rsid w:val="00E03C6D"/>
    <w:rsid w:val="00E0476F"/>
    <w:rsid w:val="00E04899"/>
    <w:rsid w:val="00E0796F"/>
    <w:rsid w:val="00E10948"/>
    <w:rsid w:val="00E24371"/>
    <w:rsid w:val="00E243AB"/>
    <w:rsid w:val="00E26641"/>
    <w:rsid w:val="00E2778F"/>
    <w:rsid w:val="00E278B0"/>
    <w:rsid w:val="00E33023"/>
    <w:rsid w:val="00E331F3"/>
    <w:rsid w:val="00E3498D"/>
    <w:rsid w:val="00E42425"/>
    <w:rsid w:val="00E43E55"/>
    <w:rsid w:val="00E4554E"/>
    <w:rsid w:val="00E46D22"/>
    <w:rsid w:val="00E4768F"/>
    <w:rsid w:val="00E53C0E"/>
    <w:rsid w:val="00E54F7E"/>
    <w:rsid w:val="00E560CE"/>
    <w:rsid w:val="00E5674E"/>
    <w:rsid w:val="00E63783"/>
    <w:rsid w:val="00E650E2"/>
    <w:rsid w:val="00E743F1"/>
    <w:rsid w:val="00E75CAD"/>
    <w:rsid w:val="00E76922"/>
    <w:rsid w:val="00E8595B"/>
    <w:rsid w:val="00E915EC"/>
    <w:rsid w:val="00EA11B1"/>
    <w:rsid w:val="00EA2224"/>
    <w:rsid w:val="00EA7194"/>
    <w:rsid w:val="00EB1329"/>
    <w:rsid w:val="00EB2987"/>
    <w:rsid w:val="00EB2D75"/>
    <w:rsid w:val="00EB34BE"/>
    <w:rsid w:val="00EB571A"/>
    <w:rsid w:val="00EC2804"/>
    <w:rsid w:val="00EC6117"/>
    <w:rsid w:val="00EC6138"/>
    <w:rsid w:val="00ED1DCF"/>
    <w:rsid w:val="00ED43C9"/>
    <w:rsid w:val="00EE2C60"/>
    <w:rsid w:val="00EE2E58"/>
    <w:rsid w:val="00EE487A"/>
    <w:rsid w:val="00EE734C"/>
    <w:rsid w:val="00EF6907"/>
    <w:rsid w:val="00EF6D91"/>
    <w:rsid w:val="00F01F54"/>
    <w:rsid w:val="00F04D4D"/>
    <w:rsid w:val="00F11DD8"/>
    <w:rsid w:val="00F12745"/>
    <w:rsid w:val="00F13766"/>
    <w:rsid w:val="00F20A77"/>
    <w:rsid w:val="00F22C60"/>
    <w:rsid w:val="00F231A4"/>
    <w:rsid w:val="00F23252"/>
    <w:rsid w:val="00F27B2A"/>
    <w:rsid w:val="00F31762"/>
    <w:rsid w:val="00F345D3"/>
    <w:rsid w:val="00F356ED"/>
    <w:rsid w:val="00F359B5"/>
    <w:rsid w:val="00F4144F"/>
    <w:rsid w:val="00F433F3"/>
    <w:rsid w:val="00F47F64"/>
    <w:rsid w:val="00F522D9"/>
    <w:rsid w:val="00F52F54"/>
    <w:rsid w:val="00F53584"/>
    <w:rsid w:val="00F61B24"/>
    <w:rsid w:val="00F62DE5"/>
    <w:rsid w:val="00F63F8A"/>
    <w:rsid w:val="00F6514E"/>
    <w:rsid w:val="00F703DC"/>
    <w:rsid w:val="00F71D06"/>
    <w:rsid w:val="00F73B46"/>
    <w:rsid w:val="00F73D01"/>
    <w:rsid w:val="00F7642B"/>
    <w:rsid w:val="00F76A43"/>
    <w:rsid w:val="00F80334"/>
    <w:rsid w:val="00F8139D"/>
    <w:rsid w:val="00F83DF9"/>
    <w:rsid w:val="00F85DA0"/>
    <w:rsid w:val="00F930AF"/>
    <w:rsid w:val="00F9352C"/>
    <w:rsid w:val="00F975B0"/>
    <w:rsid w:val="00FA15F1"/>
    <w:rsid w:val="00FA19F5"/>
    <w:rsid w:val="00FA4A69"/>
    <w:rsid w:val="00FA649A"/>
    <w:rsid w:val="00FB1248"/>
    <w:rsid w:val="00FB208D"/>
    <w:rsid w:val="00FB3CF4"/>
    <w:rsid w:val="00FB4A27"/>
    <w:rsid w:val="00FB4A49"/>
    <w:rsid w:val="00FB69B3"/>
    <w:rsid w:val="00FC6FBE"/>
    <w:rsid w:val="00FD1162"/>
    <w:rsid w:val="00FD2232"/>
    <w:rsid w:val="00FD4AE7"/>
    <w:rsid w:val="00FD65A9"/>
    <w:rsid w:val="00FD7508"/>
    <w:rsid w:val="00FE1E51"/>
    <w:rsid w:val="00FE2496"/>
    <w:rsid w:val="00FE6A2B"/>
    <w:rsid w:val="00FF0275"/>
    <w:rsid w:val="00FF07B3"/>
    <w:rsid w:val="00FF1E37"/>
    <w:rsid w:val="02F120AB"/>
    <w:rsid w:val="032B5196"/>
    <w:rsid w:val="042537EC"/>
    <w:rsid w:val="04C3537C"/>
    <w:rsid w:val="04CB2C07"/>
    <w:rsid w:val="079004AC"/>
    <w:rsid w:val="0AB8334F"/>
    <w:rsid w:val="0B9253B7"/>
    <w:rsid w:val="0BA148CA"/>
    <w:rsid w:val="0C1165C4"/>
    <w:rsid w:val="0D6D544B"/>
    <w:rsid w:val="0DD136FE"/>
    <w:rsid w:val="0EED6FF9"/>
    <w:rsid w:val="0F2130DE"/>
    <w:rsid w:val="0F8E2C57"/>
    <w:rsid w:val="0FBD50BE"/>
    <w:rsid w:val="101C0036"/>
    <w:rsid w:val="1059665E"/>
    <w:rsid w:val="10AC13BA"/>
    <w:rsid w:val="10BE10ED"/>
    <w:rsid w:val="132359A8"/>
    <w:rsid w:val="145A6C1B"/>
    <w:rsid w:val="14B73493"/>
    <w:rsid w:val="14C23C3B"/>
    <w:rsid w:val="159176EF"/>
    <w:rsid w:val="15EE4223"/>
    <w:rsid w:val="161C0D90"/>
    <w:rsid w:val="16686012"/>
    <w:rsid w:val="167A2FF9"/>
    <w:rsid w:val="18581C69"/>
    <w:rsid w:val="1AEC0734"/>
    <w:rsid w:val="1BA3785E"/>
    <w:rsid w:val="1BE96AFB"/>
    <w:rsid w:val="1CB75780"/>
    <w:rsid w:val="1D110EBE"/>
    <w:rsid w:val="1DEF20B0"/>
    <w:rsid w:val="1ED03C27"/>
    <w:rsid w:val="1FB779B8"/>
    <w:rsid w:val="21191E93"/>
    <w:rsid w:val="214243FA"/>
    <w:rsid w:val="21AD613C"/>
    <w:rsid w:val="22467189"/>
    <w:rsid w:val="23791987"/>
    <w:rsid w:val="257A14F5"/>
    <w:rsid w:val="26CB1A16"/>
    <w:rsid w:val="27196C26"/>
    <w:rsid w:val="28F433EE"/>
    <w:rsid w:val="29EF086F"/>
    <w:rsid w:val="2BA47406"/>
    <w:rsid w:val="2C491D5B"/>
    <w:rsid w:val="2EFFE297"/>
    <w:rsid w:val="301437CA"/>
    <w:rsid w:val="31662A68"/>
    <w:rsid w:val="349D1F0A"/>
    <w:rsid w:val="34DD0473"/>
    <w:rsid w:val="355E65AD"/>
    <w:rsid w:val="38A5656B"/>
    <w:rsid w:val="3C684897"/>
    <w:rsid w:val="40ED4F53"/>
    <w:rsid w:val="42042555"/>
    <w:rsid w:val="433E495C"/>
    <w:rsid w:val="467C4DAF"/>
    <w:rsid w:val="472E0107"/>
    <w:rsid w:val="489F2FD7"/>
    <w:rsid w:val="4AC27CB3"/>
    <w:rsid w:val="4BF72BEF"/>
    <w:rsid w:val="4F2A08C3"/>
    <w:rsid w:val="4F770156"/>
    <w:rsid w:val="4F895E47"/>
    <w:rsid w:val="4FA90297"/>
    <w:rsid w:val="4FBC6164"/>
    <w:rsid w:val="4FC41A43"/>
    <w:rsid w:val="51DB3C59"/>
    <w:rsid w:val="536D52A5"/>
    <w:rsid w:val="550C0952"/>
    <w:rsid w:val="55762E42"/>
    <w:rsid w:val="57A7B272"/>
    <w:rsid w:val="58470068"/>
    <w:rsid w:val="58747CAC"/>
    <w:rsid w:val="58F61C4A"/>
    <w:rsid w:val="5A1720F9"/>
    <w:rsid w:val="5B9C37C2"/>
    <w:rsid w:val="5BA7C654"/>
    <w:rsid w:val="5D3F66DF"/>
    <w:rsid w:val="5E9560AE"/>
    <w:rsid w:val="5FAD16DE"/>
    <w:rsid w:val="60A54109"/>
    <w:rsid w:val="61D01CDF"/>
    <w:rsid w:val="64C0607C"/>
    <w:rsid w:val="65756C86"/>
    <w:rsid w:val="65960E66"/>
    <w:rsid w:val="67397CFB"/>
    <w:rsid w:val="674D385B"/>
    <w:rsid w:val="676F09E1"/>
    <w:rsid w:val="697F058F"/>
    <w:rsid w:val="6D264912"/>
    <w:rsid w:val="6E99540A"/>
    <w:rsid w:val="70111815"/>
    <w:rsid w:val="703D7BA9"/>
    <w:rsid w:val="70CE589F"/>
    <w:rsid w:val="72563E57"/>
    <w:rsid w:val="7357290B"/>
    <w:rsid w:val="76E42943"/>
    <w:rsid w:val="798524E4"/>
    <w:rsid w:val="7A7F1C49"/>
    <w:rsid w:val="7B3B62E0"/>
    <w:rsid w:val="7B5B7AE6"/>
    <w:rsid w:val="7B7B6628"/>
    <w:rsid w:val="7BA7071E"/>
    <w:rsid w:val="7BDF6DA8"/>
    <w:rsid w:val="7C7EDC1A"/>
    <w:rsid w:val="7CCED98D"/>
    <w:rsid w:val="7D08410F"/>
    <w:rsid w:val="7DB96DED"/>
    <w:rsid w:val="7DD3AD81"/>
    <w:rsid w:val="7F3E499A"/>
    <w:rsid w:val="7F7FE70F"/>
    <w:rsid w:val="7FCA0EBA"/>
    <w:rsid w:val="7FFF7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7CBC242-021E-4C55-8238-9CD202A138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Body Text Indent" w:qFormat="1"/>
    <w:lsdException w:name="Subtitle" w:qFormat="1"/>
    <w:lsdException w:name="Dat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pPr>
      <w:widowControl w:val="0"/>
      <w:jc w:val="both"/>
    </w:pPr>
    <w:rPr>
      <w:kern w:val="2"/>
      <w:sz w:val="21"/>
      <w:szCs w:val="24"/>
    </w:rPr>
  </w:style>
  <w:style w:type="paragraph" w:styleId="2">
    <w:name w:val="heading 2"/>
    <w:basedOn w:val="a"/>
    <w:next w:val="a"/>
    <w:qFormat/>
    <w:pPr>
      <w:keepNext/>
      <w:keepLines/>
      <w:spacing w:before="100" w:beforeAutospacing="1" w:after="100" w:afterAutospacing="1"/>
      <w:outlineLvl w:val="1"/>
    </w:pPr>
    <w:rPr>
      <w:rFonts w:ascii="Cambria" w:eastAsia="黑体" w:hAnsi="Cambria"/>
      <w:b/>
      <w:bCs/>
      <w:kern w:val="0"/>
      <w:sz w:val="36"/>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200"/>
    </w:pPr>
  </w:style>
  <w:style w:type="paragraph" w:styleId="a4">
    <w:name w:val="Body Text Indent"/>
    <w:basedOn w:val="a"/>
    <w:qFormat/>
    <w:pPr>
      <w:ind w:firstLine="645"/>
    </w:pPr>
    <w:rPr>
      <w:rFonts w:ascii="仿宋_GB2312" w:eastAsia="仿宋_GB2312" w:hAnsi="Calibri"/>
      <w:sz w:val="32"/>
      <w:szCs w:val="32"/>
    </w:rPr>
  </w:style>
  <w:style w:type="paragraph" w:styleId="a5">
    <w:name w:val="Date"/>
    <w:basedOn w:val="a"/>
    <w:next w:val="a"/>
    <w:qFormat/>
    <w:pPr>
      <w:ind w:leftChars="2500" w:left="100"/>
    </w:pPr>
  </w:style>
  <w:style w:type="paragraph" w:styleId="a6">
    <w:name w:val="Balloon Text"/>
    <w:basedOn w:val="a"/>
    <w:semiHidden/>
    <w:qFormat/>
    <w:rPr>
      <w:sz w:val="18"/>
      <w:szCs w:val="18"/>
    </w:rPr>
  </w:style>
  <w:style w:type="paragraph" w:styleId="a7">
    <w:name w:val="footer"/>
    <w:basedOn w:val="a"/>
    <w:link w:val="Char"/>
    <w:qFormat/>
    <w:pPr>
      <w:tabs>
        <w:tab w:val="center" w:pos="4153"/>
        <w:tab w:val="right" w:pos="8306"/>
      </w:tabs>
      <w:snapToGrid w:val="0"/>
      <w:jc w:val="left"/>
    </w:pPr>
    <w:rPr>
      <w:sz w:val="18"/>
      <w:szCs w:val="18"/>
    </w:rPr>
  </w:style>
  <w:style w:type="paragraph" w:styleId="a8">
    <w:name w:val="header"/>
    <w:basedOn w:val="a"/>
    <w:link w:val="Char0"/>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Normal (Web)"/>
    <w:basedOn w:val="a"/>
    <w:unhideWhenUsed/>
    <w:qFormat/>
    <w:pPr>
      <w:spacing w:before="100" w:beforeAutospacing="1" w:after="100" w:afterAutospacing="1"/>
      <w:ind w:right="238"/>
      <w:jc w:val="left"/>
    </w:pPr>
    <w:rPr>
      <w:b/>
      <w:kern w:val="0"/>
      <w:sz w:val="24"/>
      <w:szCs w:val="20"/>
    </w:rPr>
  </w:style>
  <w:style w:type="character" w:styleId="aa">
    <w:name w:val="Strong"/>
    <w:qFormat/>
    <w:rPr>
      <w:b/>
    </w:rPr>
  </w:style>
  <w:style w:type="character" w:styleId="ab">
    <w:name w:val="page number"/>
    <w:qFormat/>
  </w:style>
  <w:style w:type="character" w:customStyle="1" w:styleId="Char">
    <w:name w:val="页脚 Char"/>
    <w:link w:val="a7"/>
    <w:qFormat/>
    <w:rPr>
      <w:rFonts w:eastAsia="宋体"/>
      <w:kern w:val="2"/>
      <w:sz w:val="18"/>
      <w:szCs w:val="18"/>
      <w:lang w:val="en-US" w:eastAsia="zh-CN" w:bidi="ar-SA"/>
    </w:rPr>
  </w:style>
  <w:style w:type="character" w:customStyle="1" w:styleId="Char0">
    <w:name w:val="页眉 Char"/>
    <w:link w:val="a8"/>
    <w:qFormat/>
    <w:rPr>
      <w:rFonts w:ascii="Calibri" w:eastAsia="宋体" w:hAnsi="Calibri"/>
      <w:kern w:val="2"/>
      <w:sz w:val="18"/>
      <w:szCs w:val="18"/>
      <w:lang w:val="en-US" w:eastAsia="zh-CN" w:bidi="ar-SA"/>
    </w:rPr>
  </w:style>
  <w:style w:type="paragraph" w:customStyle="1" w:styleId="CharCharCharCharCharCharChar">
    <w:name w:val="Char Char Char Char Char Char Char"/>
    <w:basedOn w:val="a"/>
    <w:qFormat/>
    <w:rPr>
      <w:rFonts w:ascii="Tahoma" w:hAnsi="Tahoma"/>
      <w:sz w:val="24"/>
      <w:szCs w:val="20"/>
    </w:rPr>
  </w:style>
  <w:style w:type="paragraph" w:customStyle="1" w:styleId="Char1CharCharChar">
    <w:name w:val="Char1 Char Char Char"/>
    <w:basedOn w:val="a"/>
    <w:qFormat/>
    <w:pPr>
      <w:widowControl/>
      <w:spacing w:after="160" w:line="240" w:lineRule="exact"/>
      <w:jc w:val="left"/>
    </w:pPr>
    <w:rPr>
      <w:szCs w:val="20"/>
    </w:rPr>
  </w:style>
  <w:style w:type="paragraph" w:customStyle="1" w:styleId="Char1">
    <w:name w:val="Char"/>
    <w:basedOn w:val="a"/>
    <w:qFormat/>
    <w:rPr>
      <w:rFonts w:ascii="Tahoma" w:hAnsi="Tahoma"/>
      <w:sz w:val="24"/>
      <w:szCs w:val="20"/>
    </w:rPr>
  </w:style>
  <w:style w:type="paragraph" w:customStyle="1" w:styleId="CharChar3CharChar">
    <w:name w:val="Char Char3 Char Char"/>
    <w:basedOn w:val="a"/>
    <w:qFormat/>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chart" Target="charts/chart2.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DELL\Desktop\2024&#24180;&#20915;&#31639;&#33609;&#26696;\&#25968;&#25454;&#21450;&#22270;&#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DELL\Desktop\2024&#24180;&#20915;&#31639;&#33609;&#26696;\&#25968;&#25454;&#21450;&#22270;&#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200" b="1" i="0" u="none" strike="noStrike" kern="1200" baseline="0">
                <a:solidFill>
                  <a:srgbClr val="404040">
                    <a:lumMod val="75000"/>
                    <a:lumOff val="25000"/>
                  </a:srgbClr>
                </a:solidFill>
                <a:latin typeface="+mn-lt"/>
                <a:ea typeface="+mn-ea"/>
                <a:cs typeface="+mn-cs"/>
              </a:defRPr>
            </a:pPr>
            <a:r>
              <a:rPr lang="zh-CN" altLang="en-US" sz="1200">
                <a:solidFill>
                  <a:sysClr val="windowText" lastClr="000000"/>
                </a:solidFill>
              </a:rPr>
              <a:t>收入决算</a:t>
            </a:r>
          </a:p>
        </c:rich>
      </c:tx>
      <c:overlay val="0"/>
      <c:spPr>
        <a:noFill/>
        <a:ln>
          <a:noFill/>
        </a:ln>
        <a:effectLst/>
      </c:spPr>
      <c:txPr>
        <a:bodyPr rot="0" spcFirstLastPara="0" vertOverflow="ellipsis" vert="horz" wrap="square" anchor="ctr" anchorCtr="1"/>
        <a:lstStyle/>
        <a:p>
          <a:pPr defTabSz="914400">
            <a:defRPr lang="zh-CN" sz="1200" b="1" i="0" u="none" strike="noStrike" kern="1200" baseline="0">
              <a:solidFill>
                <a:srgbClr val="404040">
                  <a:lumMod val="75000"/>
                  <a:lumOff val="25000"/>
                </a:srgbClr>
              </a:solidFill>
              <a:latin typeface="+mn-lt"/>
              <a:ea typeface="+mn-ea"/>
              <a:cs typeface="+mn-cs"/>
            </a:defRPr>
          </a:pPr>
          <a:endParaRPr lang="zh-CN"/>
        </a:p>
      </c:txPr>
    </c:title>
    <c:autoTitleDeleted val="0"/>
    <c:plotArea>
      <c:layout/>
      <c:pieChart>
        <c:varyColors val="1"/>
        <c:ser>
          <c:idx val="1"/>
          <c:order val="1"/>
          <c:tx>
            <c:strRef>
              <c:f>[数据及图表.xlsx]图表!$D$2</c:f>
              <c:strCache>
                <c:ptCount val="1"/>
                <c:pt idx="0">
                  <c:v>占比</c:v>
                </c:pt>
              </c:strCache>
            </c:strRef>
          </c:tx>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Pt>
            <c:idx val="2"/>
            <c:bubble3D val="0"/>
            <c:spPr>
              <a:solidFill>
                <a:srgbClr val="9BBB59"/>
              </a:solidFill>
              <a:ln>
                <a:solidFill>
                  <a:srgbClr val="FFFFFF"/>
                </a:solidFill>
              </a:ln>
              <a:effectLst/>
            </c:spPr>
          </c:dPt>
          <c:dLbls>
            <c:dLbl>
              <c:idx val="0"/>
              <c:layout>
                <c:manualLayout>
                  <c:x val="-8.3612932965675096E-2"/>
                  <c:y val="-0.169606496221334"/>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5.5345850049067398E-2"/>
                  <c:y val="0.121561619706771"/>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2"/>
              <c:layout>
                <c:manualLayout>
                  <c:x val="3.1175936993099898E-3"/>
                  <c:y val="8.84552940569883E-3"/>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0" vertOverflow="ellipsis" vert="horz" wrap="square" lIns="38100" tIns="19050" rIns="38100" bIns="19050" anchor="ctr" anchorCtr="1"/>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0"/>
            <c:extLst>
              <c:ext xmlns:c15="http://schemas.microsoft.com/office/drawing/2012/chart" uri="{CE6537A1-D6FC-4f65-9D91-7224C49458BB}"/>
            </c:extLst>
          </c:dLbls>
          <c:cat>
            <c:strRef>
              <c:f>[数据及图表.xlsx]图表!$B$3:$B$5</c:f>
              <c:strCache>
                <c:ptCount val="3"/>
                <c:pt idx="0">
                  <c:v>财政拨款收入</c:v>
                </c:pt>
                <c:pt idx="1">
                  <c:v>事业收入</c:v>
                </c:pt>
                <c:pt idx="2">
                  <c:v>其他收入</c:v>
                </c:pt>
              </c:strCache>
            </c:strRef>
          </c:cat>
          <c:val>
            <c:numRef>
              <c:f>[数据及图表.xlsx]图表!$D$3:$D$5</c:f>
              <c:numCache>
                <c:formatCode>0.00%</c:formatCode>
                <c:ptCount val="3"/>
                <c:pt idx="0">
                  <c:v>0.83301004089432595</c:v>
                </c:pt>
                <c:pt idx="1">
                  <c:v>0.166267124376376</c:v>
                </c:pt>
                <c:pt idx="2">
                  <c:v>7.22834729298731E-4</c:v>
                </c:pt>
              </c:numCache>
            </c:numRef>
          </c:val>
        </c:ser>
        <c:dLbls>
          <c:showLegendKey val="0"/>
          <c:showVal val="1"/>
          <c:showCatName val="0"/>
          <c:showSerName val="0"/>
          <c:showPercent val="0"/>
          <c:showBubbleSize val="0"/>
          <c:showLeaderLines val="0"/>
        </c:dLbls>
        <c:firstSliceAng val="0"/>
        <c:extLst>
          <c:ext xmlns:c15="http://schemas.microsoft.com/office/drawing/2012/chart" uri="{02D57815-91ED-43cb-92C2-25804820EDAC}">
            <c15:filteredPieSeries>
              <c15:ser>
                <c:idx val="0"/>
                <c:order val="0"/>
                <c:tx>
                  <c:strRef>
                    <c:extLst>
                      <c:ext uri="{02D57815-91ED-43cb-92C2-25804820EDAC}">
                        <c15:formulaRef>
                          <c15:sqref>[数据及图表.xlsx]图表!$C$2</c15:sqref>
                        </c15:formulaRef>
                      </c:ext>
                    </c:extLst>
                    <c:strCache>
                      <c:ptCount val="1"/>
                      <c:pt idx="0">
                        <c:v>金额</c:v>
                      </c:pt>
                    </c:strCache>
                  </c:strRef>
                </c:tx>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Pt>
                  <c:idx val="2"/>
                  <c:bubble3D val="0"/>
                  <c:spPr>
                    <a:solidFill>
                      <a:srgbClr val="9BBB59"/>
                    </a:solidFill>
                    <a:ln>
                      <a:solidFill>
                        <a:srgbClr val="FFFFFF"/>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rgbClr val="404040">
                              <a:lumMod val="75000"/>
                              <a:lumOff val="25000"/>
                            </a:srgbClr>
                          </a:solidFill>
                          <a:latin typeface="+mn-lt"/>
                          <a:ea typeface="+mn-ea"/>
                          <a:cs typeface="+mn-cs"/>
                        </a:defRPr>
                      </a:pPr>
                      <a:endParaRPr lang="zh-CN"/>
                    </a:p>
                  </c:txPr>
                  <c:dLblPos val="bestFit"/>
                  <c:showLegendKey val="0"/>
                  <c:showVal val="1"/>
                  <c:showCatName val="0"/>
                  <c:showSerName val="0"/>
                  <c:showPercent val="0"/>
                  <c:showBubbleSize val="0"/>
                  <c:showLeaderLines val="1"/>
                  <c:leaderLines>
                    <c:spPr>
                      <a:ln w="9525" cap="flat" cmpd="sng" algn="ctr">
                        <a:solidFill>
                          <a:srgbClr val="A6A6A6">
                            <a:lumMod val="35000"/>
                            <a:lumOff val="65000"/>
                          </a:srgbClr>
                        </a:solidFill>
                        <a:round/>
                      </a:ln>
                      <a:effectLst/>
                    </c:spPr>
                  </c:leaderLines>
                  <c:extLst>
                    <c:ext uri="{CE6537A1-D6FC-4f65-9D91-7224C49458BB}"/>
                  </c:extLst>
                </c:dLbls>
                <c:cat>
                  <c:strRef>
                    <c:extLst>
                      <c:ext uri="{02D57815-91ED-43cb-92C2-25804820EDAC}">
                        <c15:formulaRef>
                          <c15:sqref>[数据及图表.xlsx]图表!$B$3:$B$5</c15:sqref>
                        </c15:formulaRef>
                      </c:ext>
                    </c:extLst>
                    <c:strCache>
                      <c:ptCount val="3"/>
                      <c:pt idx="0">
                        <c:v>财政拨款收入</c:v>
                      </c:pt>
                      <c:pt idx="1">
                        <c:v>事业收入</c:v>
                      </c:pt>
                      <c:pt idx="2">
                        <c:v>其他收入</c:v>
                      </c:pt>
                    </c:strCache>
                  </c:strRef>
                </c:cat>
                <c:val>
                  <c:numRef>
                    <c:extLst>
                      <c:ext uri="{02D57815-91ED-43cb-92C2-25804820EDAC}">
                        <c15:formulaRef>
                          <c15:sqref>{50818846.23,10143339.23,44097.46}</c15:sqref>
                        </c15:formulaRef>
                      </c:ext>
                    </c:extLst>
                    <c:numCache>
                      <c:formatCode>General</c:formatCode>
                      <c:ptCount val="3"/>
                      <c:pt idx="0">
                        <c:v>50818846.229999997</c:v>
                      </c:pt>
                      <c:pt idx="1">
                        <c:v>10143339.23</c:v>
                      </c:pt>
                      <c:pt idx="2">
                        <c:v>44097.46</c:v>
                      </c:pt>
                    </c:numCache>
                  </c:numRef>
                </c:val>
              </c15:ser>
            </c15:filteredPieSeries>
          </c:ext>
        </c:extLst>
      </c:pieChart>
      <c:spPr>
        <a:noFill/>
        <a:ln>
          <a:noFill/>
        </a:ln>
        <a:effectLst/>
      </c:spPr>
    </c:plotArea>
    <c:legend>
      <c:legendPos val="r"/>
      <c:legendEntry>
        <c:idx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Entry>
      <c:legendEntry>
        <c:idx val="2"/>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08cd4f1a-744b-4d18-b44d-319ebd865d8d}"/>
      </c:ext>
    </c:extLst>
  </c:chart>
  <c:spPr>
    <a:solidFill>
      <a:schemeClr val="bg1"/>
    </a:solidFill>
    <a:ln w="9525" cap="flat" cmpd="sng" algn="ctr">
      <a:solidFill>
        <a:schemeClr val="bg1">
          <a:lumMod val="85000"/>
        </a:schemeClr>
      </a:solidFill>
      <a:round/>
    </a:ln>
    <a:effectLst/>
  </c:spPr>
  <c:txPr>
    <a:bodyPr/>
    <a:lstStyle/>
    <a:p>
      <a:pPr>
        <a:defRPr lang="zh-CN" sz="1000"/>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r>
              <a:rPr lang="zh-CN" altLang="en-US">
                <a:solidFill>
                  <a:schemeClr val="tx1"/>
                </a:solidFill>
              </a:rPr>
              <a:t>支出决算</a:t>
            </a:r>
          </a:p>
        </c:rich>
      </c:tx>
      <c:overlay val="0"/>
      <c:spPr>
        <a:noFill/>
        <a:ln>
          <a:noFill/>
        </a:ln>
        <a:effectLst/>
      </c:spPr>
      <c:txPr>
        <a:bodyPr rot="0" spcFirstLastPara="0" vertOverflow="ellipsis" vert="horz" wrap="square" anchor="ctr" anchorCtr="1"/>
        <a:lstStyle/>
        <a:p>
          <a:pPr defTabSz="914400">
            <a:defRPr lang="zh-CN" sz="1400" b="1" i="0" u="none" strike="noStrike" kern="1200" baseline="0">
              <a:solidFill>
                <a:schemeClr val="tx1"/>
              </a:solidFill>
              <a:latin typeface="+mn-lt"/>
              <a:ea typeface="+mn-ea"/>
              <a:cs typeface="+mn-cs"/>
            </a:defRPr>
          </a:pPr>
          <a:endParaRPr lang="zh-CN"/>
        </a:p>
      </c:txPr>
    </c:title>
    <c:autoTitleDeleted val="0"/>
    <c:plotArea>
      <c:layout/>
      <c:pieChart>
        <c:varyColors val="1"/>
        <c:ser>
          <c:idx val="1"/>
          <c:order val="1"/>
          <c:tx>
            <c:strRef>
              <c:f>[数据及图表.xlsx]图表!$D$31</c:f>
              <c:strCache>
                <c:ptCount val="1"/>
                <c:pt idx="0">
                  <c:v>占比</c:v>
                </c:pt>
              </c:strCache>
            </c:strRef>
          </c:tx>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Lbls>
            <c:dLbl>
              <c:idx val="0"/>
              <c:layout>
                <c:manualLayout>
                  <c:x val="-5.0713522074787798E-2"/>
                  <c:y val="-0.13487035546204701"/>
                </c:manualLayout>
              </c:layout>
              <c:dLblPos val="bestFit"/>
              <c:showLegendKey val="0"/>
              <c:showVal val="1"/>
              <c:showCatName val="0"/>
              <c:showSerName val="0"/>
              <c:showPercent val="0"/>
              <c:showBubbleSize val="0"/>
              <c:extLst>
                <c:ext xmlns:c15="http://schemas.microsoft.com/office/drawing/2012/chart" uri="{CE6537A1-D6FC-4f65-9D91-7224C49458BB}"/>
              </c:extLst>
            </c:dLbl>
            <c:dLbl>
              <c:idx val="1"/>
              <c:layout>
                <c:manualLayout>
                  <c:x val="3.8076088848809003E-2"/>
                  <c:y val="0.107346362943332"/>
                </c:manualLayout>
              </c:layout>
              <c:dLblPos val="bestFi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endParaRPr lang="zh-CN"/>
              </a:p>
            </c:txPr>
            <c:dLblPos val="bestFit"/>
            <c:showLegendKey val="0"/>
            <c:showVal val="1"/>
            <c:showCatName val="0"/>
            <c:showSerName val="0"/>
            <c:showPercent val="0"/>
            <c:showBubbleSize val="0"/>
            <c:showLeaderLines val="0"/>
            <c:extLst>
              <c:ext xmlns:c15="http://schemas.microsoft.com/office/drawing/2012/chart" uri="{CE6537A1-D6FC-4f65-9D91-7224C49458BB}"/>
            </c:extLst>
          </c:dLbls>
          <c:cat>
            <c:strRef>
              <c:f>[数据及图表.xlsx]图表!$B$32:$B$33</c:f>
              <c:strCache>
                <c:ptCount val="2"/>
                <c:pt idx="0">
                  <c:v>基本支出</c:v>
                </c:pt>
                <c:pt idx="1">
                  <c:v>项目支出</c:v>
                </c:pt>
              </c:strCache>
            </c:strRef>
          </c:cat>
          <c:val>
            <c:numRef>
              <c:f>[数据及图表.xlsx]图表!$D$32:$D$33</c:f>
              <c:numCache>
                <c:formatCode>0.00%</c:formatCode>
                <c:ptCount val="2"/>
                <c:pt idx="0">
                  <c:v>0.88168376980318797</c:v>
                </c:pt>
                <c:pt idx="1">
                  <c:v>0.11831623019681201</c:v>
                </c:pt>
              </c:numCache>
            </c:numRef>
          </c:val>
        </c:ser>
        <c:dLbls>
          <c:showLegendKey val="0"/>
          <c:showVal val="0"/>
          <c:showCatName val="0"/>
          <c:showSerName val="0"/>
          <c:showPercent val="0"/>
          <c:showBubbleSize val="0"/>
          <c:showLeaderLines val="0"/>
        </c:dLbls>
        <c:firstSliceAng val="0"/>
        <c:extLst>
          <c:ext xmlns:c15="http://schemas.microsoft.com/office/drawing/2012/chart" uri="{02D57815-91ED-43cb-92C2-25804820EDAC}">
            <c15:filteredPieSeries>
              <c15:ser>
                <c:idx val="0"/>
                <c:order val="0"/>
                <c:tx>
                  <c:strRef>
                    <c:extLst>
                      <c:ext uri="{02D57815-91ED-43cb-92C2-25804820EDAC}">
                        <c15:formulaRef>
                          <c15:sqref>[数据及图表.xlsx]图表!$C$31</c15:sqref>
                        </c15:formulaRef>
                      </c:ext>
                    </c:extLst>
                    <c:strCache>
                      <c:ptCount val="1"/>
                      <c:pt idx="0">
                        <c:v>金额</c:v>
                      </c:pt>
                    </c:strCache>
                  </c:strRef>
                </c:tx>
                <c:dPt>
                  <c:idx val="0"/>
                  <c:bubble3D val="0"/>
                  <c:spPr>
                    <a:solidFill>
                      <a:srgbClr val="4F81BD"/>
                    </a:solidFill>
                    <a:ln>
                      <a:solidFill>
                        <a:srgbClr val="FFFFFF"/>
                      </a:solidFill>
                    </a:ln>
                    <a:effectLst/>
                  </c:spPr>
                </c:dPt>
                <c:dPt>
                  <c:idx val="1"/>
                  <c:bubble3D val="0"/>
                  <c:spPr>
                    <a:solidFill>
                      <a:srgbClr val="C0504D"/>
                    </a:solidFill>
                    <a:ln>
                      <a:solidFill>
                        <a:srgbClr val="FFFFFF"/>
                      </a:solidFill>
                    </a:ln>
                    <a:effectLst/>
                  </c:spPr>
                </c:dPt>
                <c:dLbls>
                  <c:spPr>
                    <a:noFill/>
                    <a:ln>
                      <a:noFill/>
                    </a:ln>
                    <a:effectLst/>
                  </c:spPr>
                  <c:txPr>
                    <a:bodyPr rot="0" spcFirstLastPara="1" vertOverflow="ellipsis" vert="horz" wrap="square" lIns="38100" tIns="19050" rIns="38100" bIns="19050" anchor="ctr" anchorCtr="1">
                      <a:spAutoFit/>
                    </a:bodyPr>
                    <a:lstStyle/>
                    <a:p>
                      <a:pPr>
                        <a:defRPr lang="zh-CN" sz="1000" b="0" i="0" u="none" strike="noStrike" kern="1200" baseline="0">
                          <a:solidFill>
                            <a:schemeClr val="tx1"/>
                          </a:solidFill>
                          <a:latin typeface="+mn-lt"/>
                          <a:ea typeface="+mn-ea"/>
                          <a:cs typeface="+mn-cs"/>
                        </a:defRPr>
                      </a:pPr>
                      <a:endParaRPr lang="zh-CN"/>
                    </a:p>
                  </c:txPr>
                  <c:dLblPos val="bestFit"/>
                  <c:showLegendKey val="0"/>
                  <c:showVal val="0"/>
                  <c:showCatName val="0"/>
                  <c:showSerName val="0"/>
                  <c:showPercent val="1"/>
                  <c:showBubbleSize val="0"/>
                  <c:showLeaderLines val="0"/>
                  <c:extLst>
                    <c:ext uri="{CE6537A1-D6FC-4f65-9D91-7224C49458BB}"/>
                  </c:extLst>
                </c:dLbls>
                <c:cat>
                  <c:strRef>
                    <c:extLst>
                      <c:ext uri="{02D57815-91ED-43cb-92C2-25804820EDAC}">
                        <c15:formulaRef>
                          <c15:sqref>[数据及图表.xlsx]图表!$B$32:$B$33</c15:sqref>
                        </c15:formulaRef>
                      </c:ext>
                    </c:extLst>
                    <c:strCache>
                      <c:ptCount val="2"/>
                      <c:pt idx="0">
                        <c:v>基本支出</c:v>
                      </c:pt>
                      <c:pt idx="1">
                        <c:v>项目支出</c:v>
                      </c:pt>
                    </c:strCache>
                  </c:strRef>
                </c:cat>
                <c:val>
                  <c:numRef>
                    <c:extLst>
                      <c:ext uri="{02D57815-91ED-43cb-92C2-25804820EDAC}">
                        <c15:formulaRef>
                          <c15:sqref>{50971676.38,6840067.61}</c15:sqref>
                        </c15:formulaRef>
                      </c:ext>
                    </c:extLst>
                    <c:numCache>
                      <c:formatCode>General</c:formatCode>
                      <c:ptCount val="2"/>
                      <c:pt idx="0">
                        <c:v>50971676.380000003</c:v>
                      </c:pt>
                      <c:pt idx="1">
                        <c:v>6840067.6100000003</c:v>
                      </c:pt>
                    </c:numCache>
                  </c:numRef>
                </c:val>
              </c15:ser>
            </c15:filteredPieSeries>
          </c:ext>
        </c:extLst>
      </c:pieChart>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Entry>
      <c:overlay val="0"/>
      <c:spPr>
        <a:noFill/>
        <a:ln>
          <a:noFill/>
        </a:ln>
        <a:effectLst/>
      </c:spPr>
      <c:txPr>
        <a:bodyPr rot="0" spcFirstLastPara="1" vertOverflow="ellipsis" vert="horz" wrap="square" anchor="ctr" anchorCtr="1"/>
        <a:lstStyle/>
        <a:p>
          <a:pPr>
            <a:defRPr lang="zh-CN" sz="900" b="0" i="0" u="none" strike="noStrike" kern="1200" baseline="0">
              <a:solidFill>
                <a:schemeClr val="tx1"/>
              </a:solidFill>
              <a:latin typeface="+mn-lt"/>
              <a:ea typeface="+mn-ea"/>
              <a:cs typeface="+mn-cs"/>
            </a:defRPr>
          </a:pPr>
          <a:endParaRPr lang="zh-CN"/>
        </a:p>
      </c:txPr>
    </c:legend>
    <c:plotVisOnly val="1"/>
    <c:dispBlanksAs val="gap"/>
    <c:showDLblsOverMax val="0"/>
    <c:extLst>
      <c:ext uri="{0b15fc19-7d7d-44ad-8c2d-2c3a37ce22c3}">
        <chartProps xmlns="https://web.wps.cn/et/2018/main" chartId="{6c27a447-1fda-401c-b0b3-3ec6b6563c78}"/>
      </c:ext>
    </c:extLst>
  </c:chart>
  <c:spPr>
    <a:solidFill>
      <a:srgbClr val="FFFFFF"/>
    </a:solidFill>
    <a:ln w="9525" cap="flat" cmpd="sng" algn="ctr">
      <a:solidFill>
        <a:schemeClr val="bg1">
          <a:lumMod val="85000"/>
        </a:schemeClr>
      </a:solidFill>
      <a:round/>
    </a:ln>
    <a:effectLst/>
  </c:spPr>
  <c:txPr>
    <a:bodyPr/>
    <a:lstStyle/>
    <a:p>
      <a:pPr>
        <a:defRPr lang="zh-CN">
          <a:solidFill>
            <a:schemeClr val="tx1"/>
          </a:solidFill>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rgbClr val="4F81BD"/>
  <a:srgbClr val="C0504D"/>
  <a:srgbClr val="9BBB59"/>
  <a:srgbClr val="8064A2"/>
  <a:srgbClr val="4BACC6"/>
  <a:srgbClr val="F7964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charts/style2.xml><?xml version="1.0" encoding="utf-8"?>
<cs:chartStyle xmlns:cs="http://schemas.microsoft.com/office/drawing/2012/chartStyle" xmlns:a="http://schemas.openxmlformats.org/drawingml/2006/main" id="10082">
  <cs:axisTitle>
    <cs:lnRef idx="0"/>
    <cs:fillRef idx="0"/>
    <cs:effectRef idx="0"/>
    <cs:fontRef idx="minor">
      <a:srgbClr val="595959">
        <a:lumMod val="65000"/>
        <a:lumOff val="35000"/>
      </a:srgbClr>
    </cs:fontRef>
    <cs:defRPr sz="1000" kern="1200"/>
  </cs:axisTitle>
  <cs:categoryAxis>
    <cs:lnRef idx="0"/>
    <cs:fillRef idx="0"/>
    <cs:effectRef idx="0"/>
    <cs:fontRef idx="minor">
      <a:srgbClr val="595959">
        <a:lumMod val="65000"/>
        <a:lumOff val="35000"/>
      </a:srgbClr>
    </cs:fontRef>
    <cs:spPr>
      <a:ln w="9525" cap="flat" cmpd="sng" algn="ctr">
        <a:solidFill>
          <a:srgbClr val="D9D9D9">
            <a:lumMod val="15000"/>
            <a:lumOff val="85000"/>
          </a:srgbClr>
        </a:solidFill>
        <a:round/>
      </a:ln>
    </cs:spPr>
    <cs:defRPr sz="900" kern="1200"/>
  </cs:categoryAxis>
  <cs:chartArea mods="allowNoFillOverride allowNoLineOverride">
    <cs:lnRef idx="0"/>
    <cs:fillRef idx="0"/>
    <cs:effectRef idx="0"/>
    <cs:fontRef idx="minor">
      <a:srgbClr val="000000"/>
    </cs:fontRef>
    <cs:spPr>
      <a:solidFill>
        <a:srgbClr val="FFFFFF"/>
      </a:solidFill>
      <a:ln w="9525" cap="flat" cmpd="sng" algn="ctr">
        <a:solidFill>
          <a:srgbClr val="D9D9D9">
            <a:lumMod val="15000"/>
            <a:lumOff val="85000"/>
          </a:srgbClr>
        </a:solidFill>
        <a:round/>
      </a:ln>
    </cs:spPr>
    <cs:defRPr sz="900" kern="1200"/>
  </cs:chartArea>
  <cs:dataLabel>
    <cs:lnRef idx="0"/>
    <cs:fillRef idx="0"/>
    <cs:effectRef idx="0"/>
    <cs:fontRef idx="minor">
      <a:srgbClr val="404040">
        <a:lumMod val="75000"/>
        <a:lumOff val="25000"/>
      </a:srgbClr>
    </cs:fontRef>
    <cs:defRPr sz="1000" kern="1200"/>
  </cs:dataLabel>
  <cs:dataLabelCallout>
    <cs:lnRef idx="0"/>
    <cs:fillRef idx="0"/>
    <cs:effectRef idx="0"/>
    <cs:fontRef idx="minor">
      <a:srgbClr val="595959">
        <a:lumMod val="65000"/>
        <a:lumOff val="35000"/>
      </a:srgbClr>
    </cs:fontRef>
    <cs:spPr>
      <a:solidFill>
        <a:srgbClr val="FFFFFF"/>
      </a:solidFill>
      <a:ln>
        <a:solidFill>
          <a:srgbClr val="BFBFBF">
            <a:lumMod val="25000"/>
            <a:lumOff val="75000"/>
          </a:srgbClr>
        </a:solidFill>
      </a:ln>
    </cs:spPr>
    <cs:defRPr sz="1000" kern="1200"/>
    <cs:bodyPr rot="0" spcFirstLastPara="1" vertOverflow="clip" horzOverflow="clip" vert="horz" wrap="square" lIns="36576" tIns="18288" rIns="36576" bIns="18288" anchor="ctr" anchorCtr="1">
      <a:spAutoFit/>
    </cs:bodyPr>
  </cs:dataLabelCallout>
  <cs:dataPoint>
    <cs:lnRef idx="0">
      <cs:styleClr val="auto"/>
    </cs:lnRef>
    <cs:fillRef idx="1">
      <cs:styleClr val="auto"/>
    </cs:fillRef>
    <cs:effectRef idx="0"/>
    <cs:fontRef idx="minor">
      <a:srgbClr val="000000"/>
    </cs:fontRef>
    <cs:spPr>
      <a:ln>
        <a:solidFill>
          <a:srgbClr val="FFFFFF"/>
        </a:solidFill>
      </a:ln>
      <a:effectLst/>
    </cs:spPr>
  </cs:dataPoint>
  <cs:dataPoint3D>
    <cs:lnRef idx="0"/>
    <cs:fillRef idx="1">
      <cs:styleClr val="auto"/>
    </cs:fillRef>
    <cs:effectRef idx="0"/>
    <cs:fontRef idx="minor">
      <a:srgbClr val="000000"/>
    </cs:fontRef>
    <cs:spPr>
      <a:ln w="25400">
        <a:solidFill>
          <a:srgbClr val="FFFFFF"/>
        </a:solidFill>
      </a:ln>
    </cs:spPr>
  </cs:dataPoint3D>
  <cs:dataPointLine>
    <cs:lnRef idx="0">
      <cs:styleClr val="auto"/>
    </cs:lnRef>
    <cs:fillRef idx="0"/>
    <cs:effectRef idx="0"/>
    <cs:fontRef idx="minor">
      <a:srgbClr val="000000"/>
    </cs:fontRef>
    <cs:spPr>
      <a:ln w="28575" cap="rnd">
        <a:solidFill>
          <a:srgbClr val="FFFFFF"/>
        </a:solidFill>
        <a:round/>
      </a:ln>
    </cs:spPr>
  </cs:dataPointLine>
  <cs:dataPointMarker>
    <cs:lnRef idx="0">
      <cs:styleClr val="auto"/>
    </cs:lnRef>
    <cs:fillRef idx="1">
      <cs:styleClr val="auto"/>
    </cs:fillRef>
    <cs:effectRef idx="0"/>
    <cs:fontRef idx="minor">
      <a:srgbClr val="000000"/>
    </cs:fontRef>
    <cs:spPr>
      <a:ln w="9525">
        <a:solidFill>
          <a:srgbClr val="FFFFFF"/>
        </a:solidFill>
      </a:ln>
    </cs:spPr>
  </cs:dataPointMarker>
  <cs:dataPointMarkerLayout symbol="circle" size="5"/>
  <cs:dataPointWireframe>
    <cs:lnRef idx="0">
      <cs:styleClr val="auto"/>
    </cs:lnRef>
    <cs:fillRef idx="0"/>
    <cs:effectRef idx="0"/>
    <cs:fontRef idx="minor">
      <a:srgbClr val="000000"/>
    </cs:fontRef>
    <cs:spPr>
      <a:ln w="9525" cap="rnd">
        <a:solidFill>
          <a:srgbClr val="FFFFFF"/>
        </a:solidFill>
        <a:round/>
      </a:ln>
    </cs:spPr>
  </cs:dataPointWireframe>
  <cs:dataTable>
    <cs:lnRef idx="0"/>
    <cs:fillRef idx="0"/>
    <cs:effectRef idx="0"/>
    <cs:fontRef idx="minor">
      <a:srgbClr val="595959">
        <a:lumMod val="65000"/>
        <a:lumOff val="35000"/>
      </a:srgbClr>
    </cs:fontRef>
    <cs:spPr>
      <a:noFill/>
      <a:ln w="9525" cap="flat" cmpd="sng" algn="ctr">
        <a:solidFill>
          <a:srgbClr val="D9D9D9">
            <a:lumMod val="15000"/>
            <a:lumOff val="85000"/>
          </a:srgbClr>
        </a:solidFill>
        <a:round/>
      </a:ln>
    </cs:spPr>
    <cs:defRPr sz="900" kern="1200"/>
  </cs:dataTable>
  <cs:downBar>
    <cs:lnRef idx="0"/>
    <cs:fillRef idx="0"/>
    <cs:effectRef idx="0"/>
    <cs:fontRef idx="minor">
      <a:srgbClr val="000000"/>
    </cs:fontRef>
    <cs:spPr>
      <a:solidFill>
        <a:srgbClr val="404040">
          <a:lumMod val="75000"/>
          <a:lumOff val="25000"/>
        </a:srgbClr>
      </a:solidFill>
      <a:ln w="9525" cap="flat" cmpd="sng" algn="ctr">
        <a:solidFill>
          <a:srgbClr val="595959">
            <a:lumMod val="65000"/>
            <a:lumOff val="35000"/>
          </a:srgbClr>
        </a:solidFill>
        <a:round/>
      </a:ln>
    </cs:spPr>
  </cs:downBar>
  <cs:dropLine>
    <cs:lnRef idx="0"/>
    <cs:fillRef idx="0"/>
    <cs:effectRef idx="0"/>
    <cs:fontRef idx="minor">
      <a:srgbClr val="000000"/>
    </cs:fontRef>
    <cs:spPr>
      <a:ln w="9525" cap="flat" cmpd="sng" algn="ctr">
        <a:solidFill>
          <a:srgbClr val="A6A6A6">
            <a:lumMod val="35000"/>
            <a:lumOff val="65000"/>
          </a:srgbClr>
        </a:solidFill>
        <a:round/>
      </a:ln>
    </cs:spPr>
  </cs:dropLine>
  <cs:errorBar>
    <cs:lnRef idx="0"/>
    <cs:fillRef idx="0"/>
    <cs:effectRef idx="0"/>
    <cs:fontRef idx="minor">
      <a:srgbClr val="000000"/>
    </cs:fontRef>
    <cs:spPr>
      <a:ln w="9525" cap="flat" cmpd="sng" algn="ctr">
        <a:solidFill>
          <a:srgbClr val="595959">
            <a:lumMod val="65000"/>
            <a:lumOff val="35000"/>
          </a:srgbClr>
        </a:solidFill>
        <a:round/>
      </a:ln>
    </cs:spPr>
  </cs:errorBar>
  <cs:floor>
    <cs:lnRef idx="0"/>
    <cs:fillRef idx="0"/>
    <cs:effectRef idx="0"/>
    <cs:fontRef idx="minor">
      <a:srgbClr val="000000"/>
    </cs:fontRef>
    <cs:spPr>
      <a:noFill/>
      <a:ln>
        <a:noFill/>
      </a:ln>
    </cs:spPr>
  </cs:floor>
  <cs:gridlineMajor>
    <cs:lnRef idx="0"/>
    <cs:fillRef idx="0"/>
    <cs:effectRef idx="0"/>
    <cs:fontRef idx="minor">
      <a:srgbClr val="000000"/>
    </cs:fontRef>
    <cs:spPr>
      <a:ln w="9525" cap="flat" cmpd="sng" algn="ctr">
        <a:solidFill>
          <a:srgbClr val="E6E6E6">
            <a:lumMod val="90200"/>
          </a:srgbClr>
        </a:solidFill>
        <a:round/>
      </a:ln>
    </cs:spPr>
  </cs:gridlineMajor>
  <cs:gridlineMinor>
    <cs:lnRef idx="0"/>
    <cs:fillRef idx="0"/>
    <cs:effectRef idx="0"/>
    <cs:fontRef idx="minor">
      <a:srgbClr val="000000"/>
    </cs:fontRef>
    <cs:spPr>
      <a:ln w="9525" cap="flat" cmpd="sng" algn="ctr">
        <a:solidFill>
          <a:srgbClr val="F2F2F2">
            <a:lumMod val="5000"/>
            <a:lumOff val="95000"/>
          </a:srgbClr>
        </a:solidFill>
        <a:round/>
      </a:ln>
    </cs:spPr>
  </cs:gridlineMinor>
  <cs:hiLoLine>
    <cs:lnRef idx="0"/>
    <cs:fillRef idx="0"/>
    <cs:effectRef idx="0"/>
    <cs:fontRef idx="minor">
      <a:srgbClr val="000000"/>
    </cs:fontRef>
    <cs:spPr>
      <a:ln w="9525" cap="flat" cmpd="sng" algn="ctr">
        <a:solidFill>
          <a:srgbClr val="808080">
            <a:lumMod val="50000"/>
            <a:lumOff val="50000"/>
          </a:srgbClr>
        </a:solidFill>
        <a:round/>
      </a:ln>
    </cs:spPr>
  </cs:hiLoLine>
  <cs:leaderLine>
    <cs:lnRef idx="0"/>
    <cs:fillRef idx="0"/>
    <cs:effectRef idx="0"/>
    <cs:fontRef idx="minor">
      <a:srgbClr val="000000"/>
    </cs:fontRef>
    <cs:spPr>
      <a:ln w="9525" cap="flat" cmpd="sng" algn="ctr">
        <a:solidFill>
          <a:srgbClr val="A6A6A6">
            <a:lumMod val="35000"/>
            <a:lumOff val="65000"/>
          </a:srgbClr>
        </a:solidFill>
        <a:round/>
      </a:ln>
    </cs:spPr>
  </cs:leaderLine>
  <cs:legend>
    <cs:lnRef idx="0"/>
    <cs:fillRef idx="0"/>
    <cs:effectRef idx="0"/>
    <cs:fontRef idx="minor">
      <a:srgbClr val="595959">
        <a:lumMod val="65000"/>
        <a:lumOff val="35000"/>
      </a:srgbClr>
    </cs:fontRef>
    <cs:defRPr sz="900" kern="1200"/>
  </cs:legend>
  <cs:plotArea mods="allowNoFillOverride allowNoLineOverride">
    <cs:lnRef idx="0"/>
    <cs:fillRef idx="0"/>
    <cs:effectRef idx="0"/>
    <cs:fontRef idx="minor">
      <a:srgbClr val="000000"/>
    </cs:fontRef>
  </cs:plotArea>
  <cs:plotArea3D mods="allowNoFillOverride allowNoLineOverride">
    <cs:lnRef idx="0"/>
    <cs:fillRef idx="0"/>
    <cs:effectRef idx="0"/>
    <cs:fontRef idx="minor">
      <a:srgbClr val="000000"/>
    </cs:fontRef>
  </cs:plotArea3D>
  <cs:seriesAxis>
    <cs:lnRef idx="0"/>
    <cs:fillRef idx="0"/>
    <cs:effectRef idx="0"/>
    <cs:fontRef idx="minor">
      <a:srgbClr val="595959">
        <a:lumMod val="65000"/>
        <a:lumOff val="35000"/>
      </a:srgbClr>
    </cs:fontRef>
    <cs:defRPr sz="900" kern="1200"/>
  </cs:seriesAxis>
  <cs:seriesLine>
    <cs:lnRef idx="0"/>
    <cs:fillRef idx="0"/>
    <cs:effectRef idx="0"/>
    <cs:fontRef idx="minor">
      <a:srgbClr val="000000"/>
    </cs:fontRef>
    <cs:spPr>
      <a:ln w="9525" cap="flat" cmpd="sng" algn="ctr">
        <a:solidFill>
          <a:srgbClr val="A6A6A6">
            <a:lumMod val="35000"/>
            <a:lumOff val="65000"/>
          </a:srgbClr>
        </a:solidFill>
        <a:round/>
      </a:ln>
    </cs:spPr>
  </cs:seriesLine>
  <cs:title>
    <cs:lnRef idx="0"/>
    <cs:fillRef idx="0"/>
    <cs:effectRef idx="0"/>
    <cs:fontRef idx="minor">
      <a:srgbClr val="404040">
        <a:lumMod val="75000"/>
        <a:lumOff val="25000"/>
      </a:srgbClr>
    </cs:fontRef>
    <cs:defRPr sz="1400" b="1" kern="1200" baseline="0"/>
  </cs:title>
  <cs:trendline>
    <cs:lnRef idx="0">
      <cs:styleClr val="auto"/>
    </cs:lnRef>
    <cs:fillRef idx="0"/>
    <cs:effectRef idx="0"/>
    <cs:fontRef idx="minor">
      <a:srgbClr val="000000"/>
    </cs:fontRef>
    <cs:spPr>
      <a:ln w="19050" cap="rnd">
        <a:solidFill>
          <a:srgbClr val="FFFFFF"/>
        </a:solidFill>
        <a:prstDash val="sysDot"/>
      </a:ln>
    </cs:spPr>
  </cs:trendline>
  <cs:trendlineLabel>
    <cs:lnRef idx="0"/>
    <cs:fillRef idx="0"/>
    <cs:effectRef idx="0"/>
    <cs:fontRef idx="minor">
      <a:srgbClr val="595959">
        <a:lumMod val="65000"/>
        <a:lumOff val="35000"/>
      </a:srgbClr>
    </cs:fontRef>
    <cs:defRPr sz="900" kern="1200"/>
  </cs:trendlineLabel>
  <cs:upBar>
    <cs:lnRef idx="0"/>
    <cs:fillRef idx="0"/>
    <cs:effectRef idx="0"/>
    <cs:fontRef idx="minor">
      <a:srgbClr val="000000"/>
    </cs:fontRef>
    <cs:spPr>
      <a:solidFill>
        <a:srgbClr val="FFFFFF"/>
      </a:solidFill>
      <a:ln w="9525" cap="flat" cmpd="sng" algn="ctr">
        <a:solidFill>
          <a:srgbClr val="595959">
            <a:lumMod val="65000"/>
            <a:lumOff val="35000"/>
          </a:srgbClr>
        </a:solidFill>
        <a:round/>
      </a:ln>
    </cs:spPr>
  </cs:upBar>
  <cs:valueAxis>
    <cs:lnRef idx="0"/>
    <cs:fillRef idx="0"/>
    <cs:effectRef idx="0"/>
    <cs:fontRef idx="minor">
      <a:srgbClr val="595959">
        <a:lumMod val="65000"/>
        <a:lumOff val="35000"/>
      </a:srgbClr>
    </cs:fontRef>
    <cs:defRPr sz="900" kern="1200"/>
  </cs:valueAxis>
  <cs:wall>
    <cs:lnRef idx="0"/>
    <cs:fillRef idx="0"/>
    <cs:effectRef idx="0"/>
    <cs:fontRef idx="minor">
      <a:srgbClr val="000000"/>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14</Pages>
  <Words>1930</Words>
  <Characters>2432</Characters>
  <Application>Microsoft Office Word</Application>
  <DocSecurity>0</DocSecurity>
  <Lines>810</Lines>
  <Paragraphs>872</Paragraphs>
  <ScaleCrop>false</ScaleCrop>
  <Company/>
  <LinksUpToDate>false</LinksUpToDate>
  <CharactersWithSpaces>3490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北京市财政局关于做好向市人大常委会报送2015年度市级部门决算（草案）</dc:title>
  <dc:creator>常程</dc:creator>
  <cp:lastModifiedBy>DELL</cp:lastModifiedBy>
  <cp:revision>27</cp:revision>
  <cp:lastPrinted>2025-08-21T02:31:00Z</cp:lastPrinted>
  <dcterms:created xsi:type="dcterms:W3CDTF">2017-07-11T15:16:00Z</dcterms:created>
  <dcterms:modified xsi:type="dcterms:W3CDTF">2025-08-26T05:30:00Z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435078ACFECC4A5A8A519EF4C3681114_13</vt:lpwstr>
  </property>
  <property fmtid="{D5CDD505-2E9C-101B-9397-08002B2CF9AE}" pid="4" name="KSOTemplateDocerSaveRecord">
    <vt:lpwstr>eyJoZGlkIjoiNDhkZDU0ZjhkYjA4NTNmMTI1ZmE4NGU2M2RlZjllNTAifQ==</vt:lpwstr>
  </property>
</Properties>
</file>