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E8046">
      <w:pPr>
        <w:ind w:left="0" w:leftChars="0" w:firstLine="0" w:firstLineChars="0"/>
        <w:jc w:val="center"/>
      </w:pPr>
      <w:r>
        <w:drawing>
          <wp:inline distT="0" distB="0" distL="114300" distR="114300">
            <wp:extent cx="5271135" cy="570865"/>
            <wp:effectExtent l="0" t="0" r="571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1135" cy="570865"/>
                    </a:xfrm>
                    <a:prstGeom prst="rect">
                      <a:avLst/>
                    </a:prstGeom>
                    <a:noFill/>
                    <a:ln>
                      <a:noFill/>
                    </a:ln>
                  </pic:spPr>
                </pic:pic>
              </a:graphicData>
            </a:graphic>
          </wp:inline>
        </w:drawing>
      </w:r>
    </w:p>
    <w:p w14:paraId="793A50C1">
      <w:pPr>
        <w:ind w:left="0" w:leftChars="0" w:firstLine="0" w:firstLineChars="0"/>
        <w:jc w:val="center"/>
        <w:rPr>
          <w:rFonts w:hint="eastAsia"/>
          <w:lang w:val="en-US" w:eastAsia="zh-CN"/>
        </w:rPr>
      </w:pPr>
      <w:r>
        <w:rPr>
          <w:rFonts w:ascii="仿宋_GB2312" w:hAnsi="华文中宋" w:eastAsia="仿宋_GB2312" w:cs="宋体"/>
          <w:b/>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83185</wp:posOffset>
                </wp:positionV>
                <wp:extent cx="5722620" cy="2540"/>
                <wp:effectExtent l="0" t="10795" r="11430" b="15240"/>
                <wp:wrapNone/>
                <wp:docPr id="2" name="直接连接符 2"/>
                <wp:cNvGraphicFramePr/>
                <a:graphic xmlns:a="http://schemas.openxmlformats.org/drawingml/2006/main">
                  <a:graphicData uri="http://schemas.microsoft.com/office/word/2010/wordprocessingShape">
                    <wps:wsp>
                      <wps:cNvCnPr/>
                      <wps:spPr>
                        <a:xfrm>
                          <a:off x="0" y="0"/>
                          <a:ext cx="5722620" cy="254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8.35pt;margin-top:6.55pt;height:0.2pt;width:450.6pt;z-index:251659264;mso-width-relative:page;mso-height-relative:page;" filled="f" stroked="t" coordsize="21600,21600" o:gfxdata="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4H8P2QAAAAkBAAAPAAAAAAAAAAEAIAAAACIAAABkcnMvZG93bnJldi54bWxQSwECFAAU&#10;AAAACACHTuJAYw8QHvABAADcAwAADgAAAAAAAAABACAAAAAoAQAAZHJzL2Uyb0RvYy54bWxQSwUG&#10;AAAAAAYABgBZAQAAigUAAAAA&#10;">
                <v:fill on="f" focussize="0,0"/>
                <v:stroke weight="1.75pt" color="#FF0000" joinstyle="round"/>
                <v:imagedata o:title=""/>
                <o:lock v:ext="edit" aspectratio="f"/>
              </v:line>
            </w:pict>
          </mc:Fallback>
        </mc:AlternateContent>
      </w:r>
      <w:r>
        <w:rPr>
          <w:rFonts w:hint="eastAsia" w:ascii="黑体" w:eastAsia="黑体"/>
          <w:spacing w:val="-6"/>
          <w:sz w:val="32"/>
        </w:rPr>
        <w:t xml:space="preserve">    </w:t>
      </w:r>
      <w:r>
        <w:rPr>
          <w:rFonts w:ascii="仿宋_GB2312" w:hAnsi="华文中宋" w:eastAsia="仿宋_GB2312" w:cs="宋体"/>
          <w:b/>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130810</wp:posOffset>
                </wp:positionV>
                <wp:extent cx="5724525"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724525" cy="4445"/>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8.5pt;margin-top:10.3pt;height:0.35pt;width:450.75pt;z-index:251660288;mso-width-relative:page;mso-height-relative:page;" filled="f" stroked="t" coordsize="21600,21600" o:gfxdata="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Wd6ibYAAAACQEAAA8AAAAAAAAAAQAgAAAAIgAAAGRycy9kb3ducmV2Lnht&#10;bFBLAQIUABQAAAAIAIdO4kBaYszi+QEAAOYDAAAOAAAAAAAAAAEAIAAAACcBAABkcnMvZTJvRG9j&#10;LnhtbFBLBQYAAAAABgAGAFkBAACSBQAAAAA=&#10;">
                <v:fill on="f" focussize="0,0"/>
                <v:stroke weight="1pt" color="#FF0000" joinstyle="round"/>
                <v:imagedata o:title=""/>
                <o:lock v:ext="edit" aspectratio="f"/>
              </v:line>
            </w:pict>
          </mc:Fallback>
        </mc:AlternateContent>
      </w:r>
    </w:p>
    <w:p w14:paraId="4033A322">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关于征集2026年度浅层地热能重点领域</w:t>
      </w:r>
    </w:p>
    <w:p w14:paraId="46C09241">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应用研究和前沿技术攻关方向的通知</w:t>
      </w:r>
    </w:p>
    <w:p w14:paraId="71FA2426">
      <w:pPr>
        <w:pStyle w:val="2"/>
        <w:pageBreakBefore w:val="0"/>
        <w:widowControl w:val="0"/>
        <w:kinsoku/>
        <w:wordWrap/>
        <w:overflowPunct/>
        <w:topLinePunct w:val="0"/>
        <w:autoSpaceDE/>
        <w:autoSpaceDN/>
        <w:bidi w:val="0"/>
        <w:adjustRightInd/>
        <w:snapToGrid/>
        <w:spacing w:line="560" w:lineRule="exact"/>
        <w:textAlignment w:val="auto"/>
        <w:rPr>
          <w:rFonts w:hint="eastAsia"/>
          <w:b w:val="0"/>
          <w:bCs w:val="0"/>
          <w:lang w:val="en-US" w:eastAsia="zh-CN"/>
        </w:rPr>
      </w:pPr>
    </w:p>
    <w:p w14:paraId="520EF612">
      <w:pPr>
        <w:pStyle w:val="2"/>
        <w:pageBreakBefore w:val="0"/>
        <w:widowControl w:val="0"/>
        <w:kinsoku/>
        <w:wordWrap/>
        <w:overflowPunct/>
        <w:topLinePunct w:val="0"/>
        <w:autoSpaceDE/>
        <w:autoSpaceDN/>
        <w:bidi w:val="0"/>
        <w:adjustRightInd/>
        <w:snapToGrid/>
        <w:spacing w:line="560" w:lineRule="exact"/>
        <w:textAlignment w:val="auto"/>
        <w:rPr>
          <w:rFonts w:hint="eastAsia"/>
          <w:b w:val="0"/>
          <w:bCs w:val="0"/>
          <w:lang w:val="en-US" w:eastAsia="zh-CN"/>
        </w:rPr>
      </w:pPr>
      <w:r>
        <w:rPr>
          <w:rFonts w:hint="eastAsia"/>
          <w:b w:val="0"/>
          <w:bCs w:val="0"/>
          <w:lang w:val="en-US" w:eastAsia="zh-CN"/>
        </w:rPr>
        <w:t>各相关研究团队：</w:t>
      </w:r>
    </w:p>
    <w:p w14:paraId="40066675">
      <w:pPr>
        <w:rPr>
          <w:rFonts w:hint="eastAsia" w:eastAsia="仿宋_GB2312"/>
          <w:b w:val="0"/>
          <w:bCs w:val="0"/>
          <w:lang w:val="en-US" w:eastAsia="zh-CN"/>
        </w:rPr>
      </w:pPr>
      <w:r>
        <w:rPr>
          <w:rFonts w:hint="eastAsia"/>
          <w:b w:val="0"/>
          <w:bCs w:val="0"/>
          <w:lang w:val="en-US" w:eastAsia="zh-CN"/>
        </w:rPr>
        <w:t>为进一步推动</w:t>
      </w:r>
      <w:r>
        <w:rPr>
          <w:rFonts w:hint="eastAsia" w:ascii="Times New Roman" w:hAnsi="Times New Roman" w:eastAsia="仿宋_GB2312" w:cs="Times New Roman"/>
          <w:sz w:val="32"/>
        </w:rPr>
        <w:t>自然资源部浅层地热能重点实验室（以下简称“实验室”）</w:t>
      </w:r>
      <w:r>
        <w:rPr>
          <w:rFonts w:ascii="Times New Roman" w:hAnsi="Times New Roman" w:eastAsia="仿宋_GB2312" w:cs="Times New Roman"/>
          <w:sz w:val="32"/>
        </w:rPr>
        <w:t>科技创新工作，</w:t>
      </w:r>
      <w:r>
        <w:rPr>
          <w:rFonts w:hint="eastAsia" w:ascii="Times New Roman" w:hAnsi="Times New Roman" w:cs="Times New Roman"/>
          <w:sz w:val="32"/>
          <w:lang w:eastAsia="zh-CN"/>
        </w:rPr>
        <w:t>充分发挥实验室在浅层地热能领域的学科引领、技术攻关与产业支撑作用，破解当前</w:t>
      </w:r>
      <w:r>
        <w:rPr>
          <w:rFonts w:hint="eastAsia"/>
          <w:b w:val="0"/>
          <w:bCs w:val="0"/>
          <w:lang w:val="en-US" w:eastAsia="zh-CN"/>
        </w:rPr>
        <w:t>资源精细识别不足、系统能效低、环境影响管控难</w:t>
      </w:r>
      <w:r>
        <w:rPr>
          <w:rFonts w:hint="eastAsia" w:ascii="Times New Roman" w:hAnsi="Times New Roman" w:cs="Times New Roman"/>
          <w:sz w:val="32"/>
          <w:lang w:eastAsia="zh-CN"/>
        </w:rPr>
        <w:t>等行业关键问题，更好服务国家“双碳”战略与国土空间规划建设需求，</w:t>
      </w:r>
      <w:r>
        <w:rPr>
          <w:rFonts w:hint="eastAsia" w:ascii="Times New Roman" w:hAnsi="Times New Roman" w:eastAsia="仿宋_GB2312" w:cs="Times New Roman"/>
          <w:sz w:val="32"/>
        </w:rPr>
        <w:t>全力推动学科发展与支撑服务规划建设融合创新、业务体系与核心研究方向融合创新、科学研究与产业发展融合创新</w:t>
      </w:r>
      <w:r>
        <w:rPr>
          <w:rFonts w:ascii="Times New Roman" w:hAnsi="Times New Roman" w:eastAsia="仿宋_GB2312" w:cs="Times New Roman"/>
          <w:sz w:val="32"/>
        </w:rPr>
        <w:t>，</w:t>
      </w:r>
      <w:r>
        <w:rPr>
          <w:rFonts w:hint="eastAsia" w:ascii="Times New Roman" w:hAnsi="Times New Roman" w:cs="Times New Roman"/>
          <w:sz w:val="32"/>
          <w:lang w:val="en-US" w:eastAsia="zh-CN"/>
        </w:rPr>
        <w:t>现公开征集亟需</w:t>
      </w:r>
      <w:r>
        <w:rPr>
          <w:rFonts w:hint="eastAsia"/>
          <w:b w:val="0"/>
          <w:bCs w:val="0"/>
          <w:lang w:val="en-US" w:eastAsia="zh-CN"/>
        </w:rPr>
        <w:t>关键科学问题（卡脖子难题），重点资助具有研究基础、前沿性与落地价值的研究方向，为示范工程建设提供理论与技术支撑。</w:t>
      </w:r>
      <w:r>
        <w:rPr>
          <w:rFonts w:ascii="Times New Roman" w:hAnsi="Times New Roman" w:eastAsia="仿宋_GB2312" w:cs="Times New Roman"/>
          <w:sz w:val="32"/>
        </w:rPr>
        <w:t>现将有关事项通知如下：</w:t>
      </w:r>
    </w:p>
    <w:p w14:paraId="30C99CF9">
      <w:pPr>
        <w:numPr>
          <w:ilvl w:val="0"/>
          <w:numId w:val="1"/>
        </w:numPr>
        <w:spacing w:line="520" w:lineRule="exact"/>
        <w:ind w:left="0" w:leftChars="0" w:firstLine="640" w:firstLineChars="200"/>
        <w:rPr>
          <w:rFonts w:hint="eastAsia" w:ascii="Times New Roman" w:hAnsi="黑体" w:eastAsia="黑体" w:cs="Times New Roman"/>
          <w:sz w:val="32"/>
          <w:lang w:eastAsia="zh-CN"/>
        </w:rPr>
      </w:pPr>
      <w:r>
        <w:rPr>
          <w:rFonts w:hint="eastAsia" w:ascii="Times New Roman" w:hAnsi="黑体" w:eastAsia="黑体" w:cs="Times New Roman"/>
          <w:sz w:val="32"/>
        </w:rPr>
        <w:t>重点</w:t>
      </w:r>
      <w:r>
        <w:rPr>
          <w:rFonts w:ascii="Times New Roman" w:hAnsi="黑体" w:eastAsia="黑体" w:cs="Times New Roman"/>
          <w:sz w:val="32"/>
        </w:rPr>
        <w:t>领域</w:t>
      </w:r>
      <w:r>
        <w:rPr>
          <w:rFonts w:hint="eastAsia" w:ascii="Times New Roman" w:hAnsi="黑体" w:eastAsia="黑体" w:cs="Times New Roman"/>
          <w:sz w:val="32"/>
          <w:lang w:eastAsia="zh-CN"/>
        </w:rPr>
        <w:t>（</w:t>
      </w:r>
      <w:r>
        <w:rPr>
          <w:rFonts w:hint="eastAsia" w:ascii="Times New Roman" w:hAnsi="黑体" w:eastAsia="黑体" w:cs="Times New Roman"/>
          <w:sz w:val="32"/>
          <w:lang w:val="en-US" w:eastAsia="zh-CN"/>
        </w:rPr>
        <w:t>包括但不限于</w:t>
      </w:r>
      <w:r>
        <w:rPr>
          <w:rFonts w:hint="eastAsia" w:ascii="Times New Roman" w:hAnsi="黑体" w:eastAsia="黑体" w:cs="Times New Roman"/>
          <w:sz w:val="32"/>
          <w:lang w:eastAsia="zh-CN"/>
        </w:rPr>
        <w:t>）</w:t>
      </w:r>
    </w:p>
    <w:p w14:paraId="3EBB9EA8">
      <w:pPr>
        <w:spacing w:line="520" w:lineRule="exact"/>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（一）浅层地热能成因机理及资源精准勘探与评价方向</w:t>
      </w:r>
    </w:p>
    <w:p w14:paraId="1064EB0B">
      <w:pPr>
        <w:spacing w:line="520" w:lineRule="exact"/>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（二）浅层地热能高效开发与跨能源协同利用方向</w:t>
      </w:r>
    </w:p>
    <w:p w14:paraId="3FE95057">
      <w:pPr>
        <w:spacing w:line="520" w:lineRule="exact"/>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（三）生态环境影响机制与保护方向</w:t>
      </w:r>
    </w:p>
    <w:p w14:paraId="71C4350E">
      <w:pPr>
        <w:spacing w:line="520" w:lineRule="exact"/>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（四）数字化与智慧化运维方向</w:t>
      </w:r>
    </w:p>
    <w:p w14:paraId="5B939492">
      <w:pPr>
        <w:spacing w:line="520" w:lineRule="exact"/>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（五）前沿技术创新与产业适配方向</w:t>
      </w:r>
    </w:p>
    <w:p w14:paraId="6EA0B36C">
      <w:pPr>
        <w:spacing w:line="520" w:lineRule="exact"/>
        <w:ind w:firstLine="640" w:firstLineChars="200"/>
        <w:rPr>
          <w:rFonts w:hint="default"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（六）其他方向（需附加说明）</w:t>
      </w:r>
    </w:p>
    <w:p w14:paraId="744615C0">
      <w:pPr>
        <w:spacing w:line="520" w:lineRule="exact"/>
        <w:ind w:firstLine="640" w:firstLineChars="200"/>
        <w:rPr>
          <w:rFonts w:ascii="Times New Roman" w:hAnsi="Times New Roman" w:eastAsia="黑体" w:cs="Times New Roman"/>
          <w:sz w:val="32"/>
        </w:rPr>
      </w:pPr>
      <w:r>
        <w:rPr>
          <w:rFonts w:hint="eastAsia" w:ascii="Times New Roman" w:hAnsi="黑体" w:eastAsia="黑体" w:cs="Times New Roman"/>
          <w:sz w:val="32"/>
          <w:lang w:val="en-US" w:eastAsia="zh-CN"/>
        </w:rPr>
        <w:t>二</w:t>
      </w:r>
      <w:r>
        <w:rPr>
          <w:rFonts w:ascii="Times New Roman" w:hAnsi="黑体" w:eastAsia="黑体" w:cs="Times New Roman"/>
          <w:sz w:val="32"/>
        </w:rPr>
        <w:t>、征集建议要求</w:t>
      </w:r>
    </w:p>
    <w:p w14:paraId="2B865F5F">
      <w:pPr>
        <w:rPr>
          <w:rFonts w:hint="eastAsia"/>
          <w:b w:val="0"/>
          <w:bCs w:val="0"/>
          <w:lang w:val="en-US" w:eastAsia="zh-CN"/>
        </w:rPr>
      </w:pPr>
      <w:r>
        <w:rPr>
          <w:rFonts w:hint="eastAsia"/>
          <w:b w:val="0"/>
          <w:bCs w:val="0"/>
          <w:lang w:val="en-US" w:eastAsia="zh-CN"/>
        </w:rPr>
        <w:t>（一）征集主体包括国内外高等院校、科研院所、企事业单位的科技工作者，具有高级职称或硕士及以上学位，且具有丰富的浅层地热能领域业务工作经历。</w:t>
      </w:r>
    </w:p>
    <w:p w14:paraId="5C501682">
      <w:pPr>
        <w:rPr>
          <w:rFonts w:hint="eastAsia"/>
          <w:b w:val="0"/>
          <w:bCs w:val="0"/>
          <w:lang w:val="en-US" w:eastAsia="zh-CN"/>
        </w:rPr>
      </w:pPr>
      <w:r>
        <w:rPr>
          <w:rFonts w:hint="eastAsia"/>
          <w:b w:val="0"/>
          <w:bCs w:val="0"/>
          <w:lang w:val="en-US" w:eastAsia="zh-CN"/>
        </w:rPr>
        <w:t>（二）申报材料要求：填写《2026年度浅层地热能重点领域应用研究和前沿技术攻关方向征集表》（见附件）。</w:t>
      </w:r>
    </w:p>
    <w:p w14:paraId="2A7E521A">
      <w:pPr>
        <w:spacing w:line="520" w:lineRule="exact"/>
        <w:ind w:firstLine="640" w:firstLineChars="200"/>
        <w:rPr>
          <w:rFonts w:ascii="Times New Roman" w:hAnsi="Times New Roman" w:eastAsia="黑体" w:cs="Times New Roman"/>
          <w:sz w:val="32"/>
        </w:rPr>
      </w:pPr>
      <w:r>
        <w:rPr>
          <w:rFonts w:hint="eastAsia" w:ascii="Times New Roman" w:hAnsi="黑体" w:eastAsia="黑体" w:cs="Times New Roman"/>
          <w:sz w:val="32"/>
          <w:lang w:val="en-US" w:eastAsia="zh-CN"/>
        </w:rPr>
        <w:t>三</w:t>
      </w:r>
      <w:r>
        <w:rPr>
          <w:rFonts w:ascii="Times New Roman" w:hAnsi="黑体" w:eastAsia="黑体" w:cs="Times New Roman"/>
          <w:sz w:val="32"/>
        </w:rPr>
        <w:t>、相关工作事宜</w:t>
      </w:r>
    </w:p>
    <w:p w14:paraId="6C91D288">
      <w:pPr>
        <w:rPr>
          <w:rFonts w:hint="eastAsia"/>
          <w:b w:val="0"/>
          <w:bCs w:val="0"/>
          <w:lang w:val="en-US" w:eastAsia="zh-CN"/>
        </w:rPr>
      </w:pPr>
      <w:r>
        <w:rPr>
          <w:rFonts w:hint="eastAsia"/>
          <w:b w:val="0"/>
          <w:bCs w:val="0"/>
          <w:lang w:val="en-US" w:eastAsia="zh-CN"/>
        </w:rPr>
        <w:t>（一）请于2025年10月22日前提交电子征集表至指定邮箱（jszlk@bjdire.com），邮件主题注明“2026年度浅层地热能重点领域应用研究和前沿技术攻关方向征集+单位+建议人”。</w:t>
      </w:r>
    </w:p>
    <w:p w14:paraId="20A319D2">
      <w:pPr>
        <w:rPr>
          <w:rFonts w:hint="default"/>
          <w:b w:val="0"/>
          <w:bCs w:val="0"/>
          <w:lang w:val="en-US" w:eastAsia="zh-CN"/>
        </w:rPr>
      </w:pPr>
      <w:r>
        <w:rPr>
          <w:rFonts w:hint="eastAsia"/>
          <w:b w:val="0"/>
          <w:bCs w:val="0"/>
          <w:lang w:val="en-US" w:eastAsia="zh-CN"/>
        </w:rPr>
        <w:t>（二）遴选工作将遵循“分层筛选、协同联动、动态更新”原则有序开展，组织跨领域专家研讨，从研究基础、创新性、落地可行性、与实验室科研定位匹配度四个维度进行遴选，符合要求的选题分类纳入实验室科研项目库，并优先纳入2026年度开放与合作课题立项备选清单以及联合科研项目申报库。</w:t>
      </w:r>
    </w:p>
    <w:p w14:paraId="60984077">
      <w:pPr>
        <w:bidi w:val="0"/>
        <w:ind w:left="0" w:leftChars="0" w:firstLine="640" w:firstLineChars="200"/>
        <w:rPr>
          <w:rFonts w:hint="default"/>
          <w:lang w:val="en-US" w:eastAsia="zh-CN"/>
        </w:rPr>
      </w:pPr>
      <w:r>
        <w:rPr>
          <w:rFonts w:hint="eastAsia"/>
          <w:b w:val="0"/>
          <w:bCs w:val="0"/>
          <w:lang w:val="en-US" w:eastAsia="zh-CN"/>
        </w:rPr>
        <w:t>附件：2026年度浅层地热能重点领域应用研究和前沿技术攻关方向</w:t>
      </w:r>
      <w:r>
        <w:rPr>
          <w:rFonts w:hint="default"/>
          <w:lang w:val="en-US" w:eastAsia="zh-CN"/>
        </w:rPr>
        <w:t>征集表</w:t>
      </w:r>
    </w:p>
    <w:p w14:paraId="6479DFB8">
      <w:pPr>
        <w:spacing w:line="520" w:lineRule="exact"/>
        <w:rPr>
          <w:rFonts w:hint="eastAsia" w:ascii="Times New Roman" w:hAnsi="Times New Roman" w:cs="Times New Roman"/>
          <w:sz w:val="32"/>
          <w:szCs w:val="32"/>
          <w:lang w:val="en-US" w:eastAsia="zh-CN"/>
        </w:rPr>
      </w:pP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联系人：</w:t>
      </w:r>
      <w:r>
        <w:rPr>
          <w:rFonts w:hint="eastAsia" w:ascii="Times New Roman" w:hAnsi="Times New Roman" w:cs="Times New Roman"/>
          <w:sz w:val="32"/>
          <w:szCs w:val="32"/>
          <w:lang w:val="en-US" w:eastAsia="zh-CN"/>
        </w:rPr>
        <w:t>林天懿，18401570950；宫玉菲，18810813772）</w:t>
      </w:r>
    </w:p>
    <w:p w14:paraId="7AB976C9">
      <w:pPr>
        <w:spacing w:line="520" w:lineRule="exact"/>
        <w:rPr>
          <w:rFonts w:hint="eastAsia" w:ascii="Times New Roman" w:hAnsi="Times New Roman" w:cs="Times New Roman"/>
          <w:sz w:val="24"/>
          <w:szCs w:val="24"/>
          <w:lang w:val="en-US" w:eastAsia="zh-CN"/>
        </w:rPr>
      </w:pPr>
    </w:p>
    <w:p w14:paraId="2AA1A1CE">
      <w:pPr>
        <w:wordWrap w:val="0"/>
        <w:spacing w:line="48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自然资源部浅层地热能重点实验室</w:t>
      </w:r>
    </w:p>
    <w:p w14:paraId="7AFD4F51">
      <w:pPr>
        <w:wordWrap w:val="0"/>
        <w:spacing w:line="520" w:lineRule="exact"/>
        <w:ind w:firstLine="640" w:firstLineChars="200"/>
        <w:jc w:val="right"/>
        <w:rPr>
          <w:rFonts w:ascii="Times New Roman" w:hAnsi="Times New Roman" w:eastAsia="仿宋_GB2312" w:cs="Times New Roman"/>
          <w:sz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13</w:t>
      </w:r>
      <w:r>
        <w:rPr>
          <w:rFonts w:ascii="Times New Roman" w:hAnsi="Times New Roman" w:eastAsia="仿宋_GB2312" w:cs="Times New Roman"/>
          <w:sz w:val="32"/>
          <w:szCs w:val="32"/>
        </w:rPr>
        <w:t>日</w:t>
      </w:r>
      <w:r>
        <w:rPr>
          <w:rFonts w:hint="eastAsia" w:ascii="Times New Roman" w:hAnsi="Times New Roman" w:eastAsia="仿宋_GB2312" w:cs="Times New Roman"/>
          <w:sz w:val="32"/>
        </w:rPr>
        <w:t xml:space="preserve">     </w:t>
      </w:r>
    </w:p>
    <w:p w14:paraId="2F3E769D">
      <w:pPr>
        <w:bidi w:val="0"/>
        <w:ind w:left="0" w:leftChars="0" w:firstLine="0" w:firstLineChars="0"/>
        <w:rPr>
          <w:rFonts w:hint="eastAsia"/>
          <w:b/>
          <w:bCs/>
          <w:lang w:val="en-US" w:eastAsia="zh-CN"/>
        </w:rPr>
        <w:sectPr>
          <w:footerReference r:id="rId5" w:type="default"/>
          <w:pgSz w:w="11906" w:h="16838"/>
          <w:pgMar w:top="1440" w:right="1800" w:bottom="1440" w:left="1800" w:header="851" w:footer="992" w:gutter="0"/>
          <w:cols w:space="425" w:num="1"/>
          <w:docGrid w:type="lines" w:linePitch="312" w:charSpace="0"/>
        </w:sectPr>
      </w:pPr>
    </w:p>
    <w:p w14:paraId="7383B18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bCs/>
          <w:lang w:val="en-US" w:eastAsia="zh-CN"/>
        </w:rPr>
      </w:pPr>
      <w:r>
        <w:rPr>
          <w:rFonts w:hint="eastAsia" w:ascii="黑体" w:hAnsi="黑体" w:eastAsia="黑体" w:cs="黑体"/>
          <w:b/>
          <w:bCs/>
          <w:lang w:val="en-US" w:eastAsia="zh-CN"/>
        </w:rPr>
        <w:t>附件：2026年度浅层地热能重点领域应用研究</w:t>
      </w:r>
    </w:p>
    <w:p w14:paraId="301B64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b/>
          <w:bCs/>
          <w:lang w:val="en-US" w:eastAsia="zh-CN"/>
        </w:rPr>
        <w:t>和前沿技术攻关方向</w:t>
      </w:r>
      <w:r>
        <w:rPr>
          <w:rFonts w:hint="eastAsia" w:ascii="黑体" w:hAnsi="黑体" w:eastAsia="黑体" w:cs="黑体"/>
          <w:lang w:val="en-US" w:eastAsia="zh-CN"/>
        </w:rPr>
        <w:t>征集表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7239"/>
      </w:tblGrid>
      <w:tr w14:paraId="0C9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179" w:type="dxa"/>
            <w:vAlign w:val="center"/>
          </w:tcPr>
          <w:p w14:paraId="34808FE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建议人</w:t>
            </w:r>
          </w:p>
        </w:tc>
        <w:tc>
          <w:tcPr>
            <w:tcW w:w="7239" w:type="dxa"/>
            <w:vAlign w:val="top"/>
          </w:tcPr>
          <w:p w14:paraId="32FD0B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sz w:val="28"/>
                <w:szCs w:val="28"/>
                <w:vertAlign w:val="baseline"/>
                <w:lang w:val="en-US" w:eastAsia="zh-CN"/>
              </w:rPr>
            </w:pPr>
            <w:r>
              <w:rPr>
                <w:rFonts w:hint="default"/>
                <w:sz w:val="28"/>
                <w:szCs w:val="28"/>
                <w:vertAlign w:val="baseline"/>
                <w:lang w:val="en-US" w:eastAsia="zh-CN"/>
              </w:rPr>
              <w:t>姓名：______________</w:t>
            </w:r>
            <w:r>
              <w:rPr>
                <w:rFonts w:hint="eastAsia"/>
                <w:sz w:val="28"/>
                <w:szCs w:val="28"/>
                <w:vertAlign w:val="baseline"/>
                <w:lang w:val="en-US" w:eastAsia="zh-CN"/>
              </w:rPr>
              <w:t xml:space="preserve">   单位：</w:t>
            </w:r>
            <w:r>
              <w:rPr>
                <w:rFonts w:hint="default"/>
                <w:sz w:val="28"/>
                <w:szCs w:val="28"/>
                <w:vertAlign w:val="baseline"/>
                <w:lang w:val="en-US" w:eastAsia="zh-CN"/>
              </w:rPr>
              <w:t>______________________</w:t>
            </w:r>
          </w:p>
          <w:p w14:paraId="73E87D48">
            <w:pPr>
              <w:keepNext w:val="0"/>
              <w:keepLines w:val="0"/>
              <w:pageBreakBefore w:val="0"/>
              <w:widowControl w:val="0"/>
              <w:tabs>
                <w:tab w:val="center" w:pos="3453"/>
              </w:tabs>
              <w:kinsoku/>
              <w:wordWrap/>
              <w:overflowPunct/>
              <w:topLinePunct w:val="0"/>
              <w:autoSpaceDE/>
              <w:autoSpaceDN/>
              <w:bidi w:val="0"/>
              <w:adjustRightInd/>
              <w:snapToGrid/>
              <w:spacing w:line="600" w:lineRule="exact"/>
              <w:ind w:left="0" w:leftChars="0" w:firstLine="0" w:firstLineChars="0"/>
              <w:jc w:val="left"/>
              <w:textAlignment w:val="auto"/>
              <w:rPr>
                <w:rFonts w:hint="default"/>
                <w:sz w:val="28"/>
                <w:szCs w:val="28"/>
                <w:vertAlign w:val="baseline"/>
                <w:lang w:val="en-US" w:eastAsia="zh-CN"/>
              </w:rPr>
            </w:pPr>
            <w:r>
              <w:rPr>
                <w:rFonts w:hint="default"/>
                <w:sz w:val="28"/>
                <w:szCs w:val="28"/>
                <w:vertAlign w:val="baseline"/>
                <w:lang w:val="en-US" w:eastAsia="zh-CN"/>
              </w:rPr>
              <w:t>职称/学位：___________</w:t>
            </w:r>
            <w:r>
              <w:rPr>
                <w:rFonts w:hint="eastAsia"/>
                <w:sz w:val="28"/>
                <w:szCs w:val="28"/>
                <w:vertAlign w:val="baseline"/>
                <w:lang w:val="en-US" w:eastAsia="zh-CN"/>
              </w:rPr>
              <w:t xml:space="preserve"> </w:t>
            </w:r>
            <w:r>
              <w:rPr>
                <w:rFonts w:hint="default"/>
                <w:sz w:val="28"/>
                <w:szCs w:val="28"/>
                <w:vertAlign w:val="baseline"/>
                <w:lang w:val="en-US" w:eastAsia="zh-CN"/>
              </w:rPr>
              <w:t>联系方式：__________________</w:t>
            </w:r>
          </w:p>
          <w:p w14:paraId="1D300D3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sz w:val="28"/>
                <w:szCs w:val="28"/>
                <w:vertAlign w:val="baseline"/>
                <w:lang w:val="en-US" w:eastAsia="zh-CN"/>
              </w:rPr>
            </w:pPr>
            <w:r>
              <w:rPr>
                <w:rFonts w:hint="default"/>
                <w:sz w:val="28"/>
                <w:szCs w:val="28"/>
                <w:vertAlign w:val="baseline"/>
                <w:lang w:val="en-US" w:eastAsia="zh-CN"/>
              </w:rPr>
              <w:t>研究经历：</w:t>
            </w:r>
          </w:p>
        </w:tc>
      </w:tr>
      <w:tr w14:paraId="69B7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79" w:type="dxa"/>
            <w:vAlign w:val="center"/>
          </w:tcPr>
          <w:p w14:paraId="4C181CA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vertAlign w:val="baseline"/>
                <w:lang w:val="en-US" w:eastAsia="zh-CN"/>
              </w:rPr>
            </w:pPr>
            <w:r>
              <w:rPr>
                <w:rFonts w:hint="eastAsia"/>
                <w:vertAlign w:val="baseline"/>
                <w:lang w:val="en-US" w:eastAsia="zh-CN"/>
              </w:rPr>
              <w:t>关键科学问题</w:t>
            </w:r>
          </w:p>
        </w:tc>
        <w:tc>
          <w:tcPr>
            <w:tcW w:w="7239" w:type="dxa"/>
            <w:vAlign w:val="top"/>
          </w:tcPr>
          <w:p w14:paraId="540A84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sz w:val="28"/>
                <w:szCs w:val="28"/>
                <w:vertAlign w:val="baseline"/>
                <w:lang w:val="en-US" w:eastAsia="zh-CN"/>
              </w:rPr>
            </w:pPr>
          </w:p>
        </w:tc>
      </w:tr>
      <w:tr w14:paraId="6AC2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79" w:type="dxa"/>
            <w:vAlign w:val="center"/>
          </w:tcPr>
          <w:p w14:paraId="36D527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vertAlign w:val="baseline"/>
                <w:lang w:val="en-US" w:eastAsia="zh-CN"/>
              </w:rPr>
            </w:pPr>
            <w:r>
              <w:rPr>
                <w:rFonts w:hint="eastAsia"/>
                <w:vertAlign w:val="baseline"/>
                <w:lang w:val="en-US" w:eastAsia="zh-CN"/>
              </w:rPr>
              <w:t>理论研究和技术攻关方向</w:t>
            </w:r>
          </w:p>
        </w:tc>
        <w:tc>
          <w:tcPr>
            <w:tcW w:w="7239" w:type="dxa"/>
            <w:vAlign w:val="top"/>
          </w:tcPr>
          <w:p w14:paraId="7B66ABAD">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eastAsia"/>
                <w:sz w:val="28"/>
                <w:szCs w:val="28"/>
                <w:vertAlign w:val="baseline"/>
                <w:lang w:val="en-US" w:eastAsia="zh-CN"/>
              </w:rPr>
            </w:pPr>
            <w:r>
              <w:rPr>
                <w:rFonts w:hint="eastAsia"/>
                <w:sz w:val="28"/>
                <w:szCs w:val="28"/>
                <w:vertAlign w:val="baseline"/>
                <w:lang w:val="en-US" w:eastAsia="zh-CN"/>
              </w:rPr>
              <w:t>所属重点领域：</w:t>
            </w:r>
          </w:p>
          <w:p w14:paraId="0C987FF2">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default"/>
                <w:sz w:val="28"/>
                <w:szCs w:val="28"/>
                <w:vertAlign w:val="baseline"/>
                <w:lang w:val="en-US" w:eastAsia="zh-CN"/>
              </w:rPr>
            </w:pPr>
            <w:r>
              <w:rPr>
                <w:rFonts w:hint="eastAsia"/>
                <w:sz w:val="28"/>
                <w:szCs w:val="28"/>
                <w:vertAlign w:val="baseline"/>
                <w:lang w:val="en-US" w:eastAsia="zh-CN"/>
              </w:rPr>
              <w:t>研究方向简述：</w:t>
            </w:r>
          </w:p>
        </w:tc>
      </w:tr>
      <w:tr w14:paraId="5621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79" w:type="dxa"/>
            <w:vAlign w:val="center"/>
          </w:tcPr>
          <w:p w14:paraId="45DC40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所属研究方向</w:t>
            </w:r>
          </w:p>
        </w:tc>
        <w:tc>
          <w:tcPr>
            <w:tcW w:w="7239" w:type="dxa"/>
            <w:vAlign w:val="top"/>
          </w:tcPr>
          <w:p w14:paraId="2A8A3B25">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eastAsia"/>
                <w:sz w:val="28"/>
                <w:szCs w:val="28"/>
                <w:vertAlign w:val="baseline"/>
                <w:lang w:val="en-US" w:eastAsia="zh-CN"/>
              </w:rPr>
            </w:pPr>
            <w:r>
              <w:rPr>
                <w:rFonts w:hint="default"/>
                <w:sz w:val="28"/>
                <w:szCs w:val="28"/>
                <w:vertAlign w:val="baseline"/>
                <w:lang w:val="en-US" w:eastAsia="zh-CN"/>
              </w:rPr>
              <w:t>□浅层地热能地质学理论及方法研究</w:t>
            </w:r>
          </w:p>
          <w:p w14:paraId="45EDFBA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sz w:val="28"/>
                <w:szCs w:val="28"/>
                <w:lang w:eastAsia="zh-CN"/>
              </w:rPr>
            </w:pPr>
            <w:r>
              <w:rPr>
                <w:rFonts w:hint="eastAsia"/>
                <w:sz w:val="28"/>
                <w:szCs w:val="28"/>
                <w:lang w:eastAsia="zh-CN"/>
              </w:rPr>
              <w:t>□浅层地热能高效转化及应用研究</w:t>
            </w:r>
          </w:p>
          <w:p w14:paraId="6E8E664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sz w:val="28"/>
                <w:szCs w:val="28"/>
                <w:lang w:val="en-US" w:eastAsia="zh-CN"/>
              </w:rPr>
            </w:pPr>
            <w:r>
              <w:rPr>
                <w:rFonts w:hint="default"/>
                <w:sz w:val="28"/>
                <w:szCs w:val="28"/>
                <w:lang w:val="en-US" w:eastAsia="zh-CN"/>
              </w:rPr>
              <w:t>□浅层地热能利用地质环境影响研究</w:t>
            </w:r>
          </w:p>
          <w:p w14:paraId="6D85130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eastAsia="仿宋_GB2312"/>
                <w:lang w:val="en-US" w:eastAsia="zh-CN"/>
              </w:rPr>
            </w:pPr>
            <w:r>
              <w:rPr>
                <w:rFonts w:hint="eastAsia"/>
                <w:sz w:val="28"/>
                <w:szCs w:val="28"/>
              </w:rPr>
              <w:t>□其他</w:t>
            </w:r>
            <w:r>
              <w:rPr>
                <w:rFonts w:hint="eastAsia"/>
                <w:sz w:val="28"/>
                <w:szCs w:val="28"/>
                <w:lang w:eastAsia="zh-CN"/>
              </w:rPr>
              <w:t>：</w:t>
            </w:r>
          </w:p>
        </w:tc>
      </w:tr>
      <w:tr w14:paraId="723D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79" w:type="dxa"/>
            <w:vAlign w:val="center"/>
          </w:tcPr>
          <w:p w14:paraId="1559D9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default"/>
                <w:vertAlign w:val="baseline"/>
                <w:lang w:val="en-US" w:eastAsia="zh-CN"/>
              </w:rPr>
              <w:t>所属</w:t>
            </w:r>
          </w:p>
          <w:p w14:paraId="754C7B4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default"/>
                <w:vertAlign w:val="baseline"/>
                <w:lang w:val="en-US" w:eastAsia="zh-CN"/>
              </w:rPr>
              <w:t>学科</w:t>
            </w:r>
          </w:p>
        </w:tc>
        <w:tc>
          <w:tcPr>
            <w:tcW w:w="7239" w:type="dxa"/>
            <w:vAlign w:val="top"/>
          </w:tcPr>
          <w:p w14:paraId="56B7FC2C">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eastAsia"/>
                <w:sz w:val="28"/>
                <w:szCs w:val="28"/>
              </w:rPr>
            </w:pPr>
            <w:r>
              <w:rPr>
                <w:rFonts w:hint="eastAsia"/>
                <w:sz w:val="28"/>
                <w:szCs w:val="28"/>
                <w:lang w:eastAsia="zh-CN"/>
              </w:rPr>
              <w:t>□</w:t>
            </w:r>
            <w:r>
              <w:rPr>
                <w:rFonts w:hint="eastAsia"/>
                <w:sz w:val="28"/>
                <w:szCs w:val="28"/>
              </w:rPr>
              <w:t>地热地质学 □热能工程 □环境科学与工程</w:t>
            </w:r>
          </w:p>
          <w:p w14:paraId="1986E9B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sz w:val="28"/>
                <w:szCs w:val="28"/>
                <w:vertAlign w:val="baseline"/>
                <w:lang w:val="en-US" w:eastAsia="zh-CN"/>
              </w:rPr>
            </w:pPr>
            <w:r>
              <w:rPr>
                <w:rFonts w:hint="eastAsia"/>
                <w:sz w:val="28"/>
                <w:szCs w:val="28"/>
              </w:rPr>
              <w:t>□土木工程 □其他______</w:t>
            </w:r>
          </w:p>
        </w:tc>
      </w:tr>
      <w:tr w14:paraId="5CD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79" w:type="dxa"/>
            <w:vAlign w:val="center"/>
          </w:tcPr>
          <w:p w14:paraId="545184F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default"/>
                <w:vertAlign w:val="baseline"/>
                <w:lang w:val="en-US" w:eastAsia="zh-CN"/>
              </w:rPr>
              <w:t>研究</w:t>
            </w:r>
          </w:p>
          <w:p w14:paraId="2872C3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default"/>
                <w:vertAlign w:val="baseline"/>
                <w:lang w:val="en-US" w:eastAsia="zh-CN"/>
              </w:rPr>
              <w:t>类型</w:t>
            </w:r>
          </w:p>
        </w:tc>
        <w:tc>
          <w:tcPr>
            <w:tcW w:w="7239" w:type="dxa"/>
            <w:vAlign w:val="top"/>
          </w:tcPr>
          <w:p w14:paraId="696F5AF0">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default"/>
                <w:sz w:val="28"/>
                <w:szCs w:val="28"/>
                <w:vertAlign w:val="baseline"/>
                <w:lang w:val="en-US" w:eastAsia="zh-CN"/>
              </w:rPr>
            </w:pPr>
            <w:r>
              <w:rPr>
                <w:rFonts w:hint="eastAsia"/>
                <w:sz w:val="28"/>
                <w:szCs w:val="28"/>
                <w:vertAlign w:val="baseline"/>
                <w:lang w:val="en-US" w:eastAsia="zh-CN"/>
              </w:rPr>
              <w:t>□</w:t>
            </w:r>
            <w:r>
              <w:rPr>
                <w:rFonts w:hint="default"/>
                <w:sz w:val="28"/>
                <w:szCs w:val="28"/>
                <w:vertAlign w:val="baseline"/>
                <w:lang w:val="en-US" w:eastAsia="zh-CN"/>
              </w:rPr>
              <w:t>理论研究 □技术突破 □理论 + 技术结合</w:t>
            </w:r>
          </w:p>
          <w:p w14:paraId="129FB84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sz w:val="28"/>
                <w:szCs w:val="28"/>
                <w:vertAlign w:val="baseline"/>
                <w:lang w:val="en-US" w:eastAsia="zh-CN"/>
              </w:rPr>
            </w:pPr>
            <w:r>
              <w:rPr>
                <w:rFonts w:hint="eastAsia"/>
                <w:sz w:val="28"/>
                <w:szCs w:val="28"/>
                <w:lang w:eastAsia="zh-CN"/>
              </w:rPr>
              <w:t>□</w:t>
            </w:r>
            <w:r>
              <w:rPr>
                <w:rFonts w:hint="eastAsia"/>
                <w:sz w:val="28"/>
                <w:szCs w:val="28"/>
              </w:rPr>
              <w:t>其他______</w:t>
            </w:r>
          </w:p>
        </w:tc>
      </w:tr>
      <w:tr w14:paraId="0A4D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179" w:type="dxa"/>
            <w:vAlign w:val="center"/>
          </w:tcPr>
          <w:p w14:paraId="2904AE0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default"/>
                <w:vertAlign w:val="baseline"/>
                <w:lang w:val="en-US" w:eastAsia="zh-CN"/>
              </w:rPr>
              <w:t>研究</w:t>
            </w:r>
            <w:r>
              <w:rPr>
                <w:rFonts w:hint="eastAsia"/>
                <w:vertAlign w:val="baseline"/>
                <w:lang w:val="en-US" w:eastAsia="zh-CN"/>
              </w:rPr>
              <w:t>工作</w:t>
            </w:r>
            <w:r>
              <w:rPr>
                <w:rFonts w:hint="default"/>
                <w:vertAlign w:val="baseline"/>
                <w:lang w:val="en-US" w:eastAsia="zh-CN"/>
              </w:rPr>
              <w:t>基础</w:t>
            </w:r>
          </w:p>
        </w:tc>
        <w:tc>
          <w:tcPr>
            <w:tcW w:w="7239" w:type="dxa"/>
            <w:vAlign w:val="top"/>
          </w:tcPr>
          <w:p w14:paraId="3891B890">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default"/>
                <w:sz w:val="28"/>
                <w:szCs w:val="28"/>
                <w:vertAlign w:val="baseline"/>
                <w:lang w:val="en-US" w:eastAsia="zh-CN"/>
              </w:rPr>
            </w:pPr>
            <w:r>
              <w:rPr>
                <w:rFonts w:hint="default"/>
                <w:sz w:val="28"/>
                <w:szCs w:val="28"/>
                <w:vertAlign w:val="baseline"/>
                <w:lang w:val="en-US" w:eastAsia="zh-CN"/>
              </w:rPr>
              <w:t>（简述相关论文、专利、前期项目等，限 300 字）</w:t>
            </w:r>
          </w:p>
        </w:tc>
      </w:tr>
      <w:tr w14:paraId="28FB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179" w:type="dxa"/>
            <w:vAlign w:val="center"/>
          </w:tcPr>
          <w:p w14:paraId="1EFCBF2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前沿性与落地性说明</w:t>
            </w:r>
          </w:p>
        </w:tc>
        <w:tc>
          <w:tcPr>
            <w:tcW w:w="7239" w:type="dxa"/>
            <w:vAlign w:val="top"/>
          </w:tcPr>
          <w:p w14:paraId="5906705E">
            <w:pPr>
              <w:keepNext w:val="0"/>
              <w:keepLines w:val="0"/>
              <w:pageBreakBefore w:val="0"/>
              <w:widowControl w:val="0"/>
              <w:kinsoku/>
              <w:wordWrap/>
              <w:overflowPunct/>
              <w:topLinePunct w:val="0"/>
              <w:autoSpaceDE/>
              <w:autoSpaceDN/>
              <w:bidi w:val="0"/>
              <w:adjustRightInd/>
              <w:snapToGrid/>
              <w:spacing w:before="95" w:beforeLines="30" w:line="300" w:lineRule="exact"/>
              <w:ind w:left="0" w:leftChars="0" w:firstLine="0" w:firstLineChars="0"/>
              <w:jc w:val="left"/>
              <w:textAlignment w:val="auto"/>
              <w:rPr>
                <w:rFonts w:hint="eastAsia"/>
                <w:sz w:val="28"/>
                <w:szCs w:val="28"/>
                <w:vertAlign w:val="baseline"/>
                <w:lang w:val="en-US" w:eastAsia="zh-CN"/>
              </w:rPr>
            </w:pPr>
            <w:r>
              <w:rPr>
                <w:rFonts w:hint="eastAsia"/>
                <w:sz w:val="28"/>
                <w:szCs w:val="28"/>
                <w:vertAlign w:val="baseline"/>
                <w:lang w:val="en-US" w:eastAsia="zh-CN"/>
              </w:rPr>
              <w:t>前沿性：</w:t>
            </w:r>
          </w:p>
          <w:p w14:paraId="6147AB8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sz w:val="28"/>
                <w:szCs w:val="28"/>
                <w:vertAlign w:val="baseline"/>
                <w:lang w:val="en-US" w:eastAsia="zh-CN"/>
              </w:rPr>
            </w:pPr>
          </w:p>
          <w:p w14:paraId="756AC84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sz w:val="28"/>
                <w:szCs w:val="28"/>
                <w:vertAlign w:val="baseline"/>
                <w:lang w:val="en-US" w:eastAsia="zh-CN"/>
              </w:rPr>
            </w:pPr>
          </w:p>
          <w:p w14:paraId="7E86373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sz w:val="28"/>
                <w:szCs w:val="28"/>
                <w:vertAlign w:val="baseline"/>
                <w:lang w:val="en-US" w:eastAsia="zh-CN"/>
              </w:rPr>
            </w:pPr>
          </w:p>
          <w:p w14:paraId="1CC77D8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sz w:val="28"/>
                <w:szCs w:val="28"/>
                <w:vertAlign w:val="baseline"/>
                <w:lang w:val="en-US" w:eastAsia="zh-CN"/>
              </w:rPr>
            </w:pPr>
            <w:r>
              <w:rPr>
                <w:rFonts w:hint="eastAsia"/>
                <w:sz w:val="28"/>
                <w:szCs w:val="28"/>
                <w:vertAlign w:val="baseline"/>
                <w:lang w:val="en-US" w:eastAsia="zh-CN"/>
              </w:rPr>
              <w:t>落地路径：</w:t>
            </w:r>
          </w:p>
          <w:p w14:paraId="36FD572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sz w:val="28"/>
                <w:szCs w:val="28"/>
                <w:vertAlign w:val="baseline"/>
                <w:lang w:val="en-US" w:eastAsia="zh-CN"/>
              </w:rPr>
            </w:pPr>
            <w:r>
              <w:rPr>
                <w:rFonts w:hint="eastAsia"/>
                <w:sz w:val="28"/>
                <w:szCs w:val="28"/>
                <w:vertAlign w:val="baseline"/>
                <w:lang w:val="en-US" w:eastAsia="zh-CN"/>
              </w:rPr>
              <w:t>1.目标示范区域：</w:t>
            </w:r>
          </w:p>
          <w:p w14:paraId="69722D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sz w:val="28"/>
                <w:szCs w:val="28"/>
                <w:vertAlign w:val="baseline"/>
                <w:lang w:val="en-US" w:eastAsia="zh-CN"/>
              </w:rPr>
            </w:pPr>
            <w:r>
              <w:rPr>
                <w:rFonts w:hint="eastAsia"/>
                <w:sz w:val="28"/>
                <w:szCs w:val="28"/>
                <w:vertAlign w:val="baseline"/>
                <w:lang w:val="en-US" w:eastAsia="zh-CN"/>
              </w:rPr>
              <w:t>2.适配项目类型：</w:t>
            </w:r>
          </w:p>
          <w:p w14:paraId="1E1C208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sz w:val="28"/>
                <w:szCs w:val="28"/>
                <w:vertAlign w:val="baseline"/>
                <w:lang w:val="en-US" w:eastAsia="zh-CN"/>
              </w:rPr>
            </w:pPr>
            <w:r>
              <w:rPr>
                <w:rFonts w:hint="eastAsia"/>
                <w:sz w:val="28"/>
                <w:szCs w:val="28"/>
                <w:vertAlign w:val="baseline"/>
                <w:lang w:val="en-US" w:eastAsia="zh-CN"/>
              </w:rPr>
              <w:t>3.预期应用效果：</w:t>
            </w:r>
          </w:p>
          <w:p w14:paraId="37600C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sz w:val="28"/>
                <w:szCs w:val="28"/>
                <w:vertAlign w:val="baseline"/>
                <w:lang w:val="en-US" w:eastAsia="zh-CN"/>
              </w:rPr>
            </w:pPr>
          </w:p>
        </w:tc>
      </w:tr>
    </w:tbl>
    <w:p w14:paraId="1EAC0C6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b/>
          <w:bCs/>
          <w:sz w:val="32"/>
          <w:szCs w:val="32"/>
          <w:lang w:val="en-US" w:eastAsia="zh-CN"/>
        </w:rPr>
      </w:pPr>
      <w:r>
        <w:rPr>
          <w:rFonts w:hint="eastAsia"/>
          <w:b/>
          <w:bCs/>
          <w:sz w:val="32"/>
          <w:szCs w:val="32"/>
          <w:lang w:val="en-US" w:eastAsia="zh-CN"/>
        </w:rPr>
        <w:t>注:重点领域包括但不限于以下内容：</w:t>
      </w:r>
    </w:p>
    <w:p w14:paraId="7F07FEF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浅层地热能成因机理及资源精准勘探与评价方向</w:t>
      </w:r>
    </w:p>
    <w:p w14:paraId="447EF1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z w:val="32"/>
          <w:szCs w:val="32"/>
          <w:lang w:val="en-US" w:eastAsia="zh-CN"/>
        </w:rPr>
      </w:pPr>
      <w:r>
        <w:rPr>
          <w:rFonts w:hint="eastAsia"/>
          <w:sz w:val="32"/>
          <w:szCs w:val="32"/>
          <w:lang w:val="en-US" w:eastAsia="zh-CN"/>
        </w:rPr>
        <w:t>例如：</w:t>
      </w:r>
      <w:r>
        <w:rPr>
          <w:rFonts w:hint="default"/>
          <w:sz w:val="32"/>
          <w:szCs w:val="32"/>
          <w:lang w:val="en-US" w:eastAsia="zh-CN"/>
        </w:rPr>
        <w:t>基于多源地球物理（重力、磁法、电法）与遥感技术的浅层地热能资源储量动态评估模型研究；不同地质构造区（如冲积平原、岩溶地貌、滨海沉积区）浅层地热能可采资源量分级方法与开发潜力图谱绘制技术；浅层地热能资源与国土空间规划衔接的评价指标体系构建（如与耕地保护、生态红线的兼容性评估）。</w:t>
      </w:r>
    </w:p>
    <w:p w14:paraId="6E48BAF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浅层地热能高效开发与跨能源协同利用方向</w:t>
      </w:r>
    </w:p>
    <w:p w14:paraId="4B6135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z w:val="32"/>
          <w:szCs w:val="32"/>
          <w:lang w:val="en-US" w:eastAsia="zh-CN"/>
        </w:rPr>
      </w:pPr>
      <w:r>
        <w:rPr>
          <w:rFonts w:hint="eastAsia"/>
          <w:sz w:val="32"/>
          <w:szCs w:val="32"/>
          <w:lang w:val="en-US" w:eastAsia="zh-CN"/>
        </w:rPr>
        <w:t>例如：</w:t>
      </w:r>
      <w:r>
        <w:rPr>
          <w:rFonts w:hint="default"/>
          <w:sz w:val="32"/>
          <w:szCs w:val="32"/>
          <w:lang w:val="en-US" w:eastAsia="zh-CN"/>
        </w:rPr>
        <w:t>浅层地热能与中深层地热“梯级取热-互补供能”系统集成技术（如浅层储热+中深层供热的区域能源站设计）；浅层地热能与光伏/风电/燃煤电厂余热的多能互补调控技术（含智能调度算法与储能装备研发）；高密度城市区域“建筑-地下空间”一体化浅层地热开发技术（如地铁隧道、综合管廊与地源热泵的协同换热）。</w:t>
      </w:r>
    </w:p>
    <w:p w14:paraId="4D7F223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生态环境影响机制与保护方向</w:t>
      </w:r>
    </w:p>
    <w:p w14:paraId="07A58D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z w:val="32"/>
          <w:szCs w:val="32"/>
          <w:lang w:val="en-US" w:eastAsia="zh-CN"/>
        </w:rPr>
      </w:pPr>
      <w:r>
        <w:rPr>
          <w:rFonts w:hint="eastAsia"/>
          <w:sz w:val="32"/>
          <w:szCs w:val="32"/>
          <w:lang w:val="en-US" w:eastAsia="zh-CN"/>
        </w:rPr>
        <w:t>例如：</w:t>
      </w:r>
      <w:r>
        <w:rPr>
          <w:rFonts w:hint="default"/>
          <w:sz w:val="32"/>
          <w:szCs w:val="32"/>
          <w:lang w:val="en-US" w:eastAsia="zh-CN"/>
        </w:rPr>
        <w:t>浅层地热能长期开发对地温场、地下水化学场的动态影响预测模型与阈值划定；</w:t>
      </w:r>
      <w:r>
        <w:rPr>
          <w:rFonts w:hint="eastAsia"/>
          <w:sz w:val="32"/>
          <w:szCs w:val="32"/>
          <w:lang w:val="en-US" w:eastAsia="zh-CN"/>
        </w:rPr>
        <w:t>浅层地热能系统现有材料长期运行中的性能稳定性和地质环境影响（如材料老化机制、环境效应及前沿研究）；</w:t>
      </w:r>
      <w:r>
        <w:rPr>
          <w:rFonts w:hint="default"/>
          <w:sz w:val="32"/>
          <w:szCs w:val="32"/>
          <w:lang w:val="en-US" w:eastAsia="zh-CN"/>
        </w:rPr>
        <w:t>浅层地埋管系统引发的土壤热失衡修复技术（如新型回填材料研发、人工补热/冷技术）；浅层地热开发区域水土生态风险监测的物联网（IoT）设备与预警平台开发。</w:t>
      </w:r>
    </w:p>
    <w:p w14:paraId="3E63FF7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数字化与智慧化运维方向</w:t>
      </w:r>
      <w:bookmarkStart w:id="0" w:name="_GoBack"/>
      <w:bookmarkEnd w:id="0"/>
    </w:p>
    <w:p w14:paraId="3FEA4E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z w:val="32"/>
          <w:szCs w:val="32"/>
          <w:lang w:val="en-US" w:eastAsia="zh-CN"/>
        </w:rPr>
      </w:pPr>
      <w:r>
        <w:rPr>
          <w:rFonts w:hint="eastAsia"/>
          <w:sz w:val="32"/>
          <w:szCs w:val="32"/>
          <w:lang w:val="en-US" w:eastAsia="zh-CN"/>
        </w:rPr>
        <w:t>例如：</w:t>
      </w:r>
      <w:r>
        <w:rPr>
          <w:rFonts w:hint="default"/>
          <w:sz w:val="32"/>
          <w:szCs w:val="32"/>
          <w:lang w:val="en-US" w:eastAsia="zh-CN"/>
        </w:rPr>
        <w:t>浅层地热能开发利用全流程数字孪生平台构建（融合地质数据、系统运行数据、环境监测数据）；基于人工智能（AI）的浅层地源热泵系统故障预判与能效优化算法研究；浅层地热能开发项目全生命周期碳排放核算方法与低碳运行标准制定。</w:t>
      </w:r>
    </w:p>
    <w:p w14:paraId="3635E8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前沿技术创新与产业适配方向</w:t>
      </w:r>
    </w:p>
    <w:p w14:paraId="3B1C4B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z w:val="32"/>
          <w:szCs w:val="32"/>
          <w:lang w:val="en-US" w:eastAsia="zh-CN"/>
        </w:rPr>
      </w:pPr>
      <w:r>
        <w:rPr>
          <w:rFonts w:hint="eastAsia"/>
          <w:sz w:val="32"/>
          <w:szCs w:val="32"/>
          <w:lang w:val="en-US" w:eastAsia="zh-CN"/>
        </w:rPr>
        <w:t>例如：</w:t>
      </w:r>
      <w:r>
        <w:rPr>
          <w:rFonts w:hint="default"/>
          <w:sz w:val="32"/>
          <w:szCs w:val="32"/>
          <w:lang w:val="en-US" w:eastAsia="zh-CN"/>
        </w:rPr>
        <w:t>新型高效换热</w:t>
      </w:r>
      <w:r>
        <w:rPr>
          <w:rFonts w:hint="eastAsia"/>
          <w:sz w:val="32"/>
          <w:szCs w:val="32"/>
          <w:lang w:val="en-US" w:eastAsia="zh-CN"/>
        </w:rPr>
        <w:t>及回填</w:t>
      </w:r>
      <w:r>
        <w:rPr>
          <w:rFonts w:hint="default"/>
          <w:sz w:val="32"/>
          <w:szCs w:val="32"/>
          <w:lang w:val="en-US" w:eastAsia="zh-CN"/>
        </w:rPr>
        <w:t>材料（如石墨烯改性换热管、防腐耐磨复合材料）在浅层地埋管系统的应用研究；浅层地热能“取热不取水”单井/集群井技术的低成本化改造与工程适配性优化；乡村振兴场景下分布式浅层地热供暖/制冷技术（如低成本模块化地源热泵装备研发）。</w:t>
      </w:r>
    </w:p>
    <w:p w14:paraId="65D1B8F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其他方向（需附加说明）</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21031F-EA3B-4CCB-87D2-B95CE0D9F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E77AF29-8411-4A93-927B-B00BAAAC82BC}"/>
  </w:font>
  <w:font w:name="华文中宋">
    <w:panose1 w:val="02010600040101010101"/>
    <w:charset w:val="86"/>
    <w:family w:val="auto"/>
    <w:pitch w:val="default"/>
    <w:sig w:usb0="00000287" w:usb1="080F0000" w:usb2="00000000" w:usb3="00000000" w:csb0="0004009F" w:csb1="DFD70000"/>
    <w:embedRegular r:id="rId3" w:fontKey="{32524325-7C6A-450B-A424-4A4A6DB8908E}"/>
  </w:font>
  <w:font w:name="方正小标宋_GBK">
    <w:panose1 w:val="03000509000000000000"/>
    <w:charset w:val="86"/>
    <w:family w:val="auto"/>
    <w:pitch w:val="default"/>
    <w:sig w:usb0="00000001" w:usb1="080E0000" w:usb2="00000000" w:usb3="00000000" w:csb0="00040000" w:csb1="00000000"/>
    <w:embedRegular r:id="rId4" w:fontKey="{BA31C51C-CFE7-400F-8E00-C58613EEDC9A}"/>
  </w:font>
  <w:font w:name="楷体_GB2312">
    <w:panose1 w:val="02010609030101010101"/>
    <w:charset w:val="86"/>
    <w:family w:val="auto"/>
    <w:pitch w:val="default"/>
    <w:sig w:usb0="00000001" w:usb1="080E0000" w:usb2="00000000" w:usb3="00000000" w:csb0="00040000" w:csb1="00000000"/>
    <w:embedRegular r:id="rId5" w:fontKey="{4A0A7161-AAE1-4727-87CA-C5C7C6DA47F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086818"/>
      <w:docPartObj>
        <w:docPartGallery w:val="autotext"/>
      </w:docPartObj>
    </w:sdtPr>
    <w:sdtEndPr>
      <w:rPr>
        <w:rFonts w:ascii="Times New Roman" w:hAnsi="Times New Roman" w:cs="Times New Roman"/>
        <w:sz w:val="21"/>
      </w:rPr>
    </w:sdtEndPr>
    <w:sdtContent>
      <w:p w14:paraId="2C157977">
        <w:pPr>
          <w:pStyle w:val="3"/>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3</w:t>
        </w:r>
        <w:r>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A97C2"/>
    <w:multiLevelType w:val="singleLevel"/>
    <w:tmpl w:val="ADAA97C2"/>
    <w:lvl w:ilvl="0" w:tentative="0">
      <w:start w:val="1"/>
      <w:numFmt w:val="decimal"/>
      <w:suff w:val="space"/>
      <w:lvlText w:val="%1."/>
      <w:lvlJc w:val="left"/>
    </w:lvl>
  </w:abstractNum>
  <w:abstractNum w:abstractNumId="1">
    <w:nsid w:val="0912705D"/>
    <w:multiLevelType w:val="singleLevel"/>
    <w:tmpl w:val="0912705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F0066"/>
    <w:rsid w:val="063200F7"/>
    <w:rsid w:val="0DDB309E"/>
    <w:rsid w:val="0DE866A1"/>
    <w:rsid w:val="18FE652B"/>
    <w:rsid w:val="1A7A2C11"/>
    <w:rsid w:val="1BD441FE"/>
    <w:rsid w:val="1C024584"/>
    <w:rsid w:val="1C16434C"/>
    <w:rsid w:val="2AFE74A7"/>
    <w:rsid w:val="2E215446"/>
    <w:rsid w:val="2EFD182D"/>
    <w:rsid w:val="370A2254"/>
    <w:rsid w:val="3BE31863"/>
    <w:rsid w:val="3F5C04EB"/>
    <w:rsid w:val="43D40AD1"/>
    <w:rsid w:val="50473843"/>
    <w:rsid w:val="567F0066"/>
    <w:rsid w:val="611A460D"/>
    <w:rsid w:val="64BA1C4E"/>
    <w:rsid w:val="686C598B"/>
    <w:rsid w:val="698028C7"/>
    <w:rsid w:val="6DE457AE"/>
    <w:rsid w:val="742835D1"/>
    <w:rsid w:val="755D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640" w:firstLineChars="200"/>
      <w:jc w:val="both"/>
    </w:pPr>
    <w:rPr>
      <w:rFonts w:ascii="仿宋_GB2312" w:hAnsi="仿宋_GB2312" w:eastAsia="仿宋_GB2312" w:cs="Times New Roman"/>
      <w:kern w:val="2"/>
      <w:sz w:val="32"/>
      <w:lang w:val="en-US" w:eastAsia="zh-CN" w:bidi="ar-SA"/>
    </w:rPr>
  </w:style>
  <w:style w:type="paragraph" w:styleId="2">
    <w:name w:val="heading 1"/>
    <w:basedOn w:val="1"/>
    <w:next w:val="1"/>
    <w:link w:val="7"/>
    <w:qFormat/>
    <w:uiPriority w:val="0"/>
    <w:pPr>
      <w:keepNext/>
      <w:keepLines/>
      <w:spacing w:line="360" w:lineRule="auto"/>
      <w:ind w:firstLine="0" w:firstLineChars="0"/>
      <w:outlineLvl w:val="0"/>
    </w:pPr>
    <w:rPr>
      <w:b/>
      <w:bCs/>
      <w:kern w:val="44"/>
      <w:sz w:val="32"/>
      <w:szCs w:val="44"/>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字符"/>
    <w:basedOn w:val="6"/>
    <w:link w:val="2"/>
    <w:qFormat/>
    <w:uiPriority w:val="0"/>
    <w:rPr>
      <w:rFonts w:ascii="仿宋_GB2312" w:hAnsi="Times New Roman" w:eastAsia="仿宋_GB2312"/>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1830</Words>
  <Characters>1972</Characters>
  <Lines>0</Lines>
  <Paragraphs>0</Paragraphs>
  <TotalTime>44</TotalTime>
  <ScaleCrop>false</ScaleCrop>
  <LinksUpToDate>false</LinksUpToDate>
  <CharactersWithSpaces>2020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2025-10-10T01:19:00Z</dcterms:created>
  <dc:creator>宫玉菲</dc:creator>
  <cp:lastModifiedBy>宫玉菲</cp:lastModifiedBy>
  <dcterms:modified xsi:type="dcterms:W3CDTF">2025-10-13T03:38:36Z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68B21419A4B14EAAA5506FCF1BA647D5_13</vt:lpwstr>
  </property>
  <property fmtid="{D5CDD505-2E9C-101B-9397-08002B2CF9AE}" pid="4" name="KSOTemplateDocerSaveRecord">
    <vt:lpwstr>eyJoZGlkIjoiYjVhZGMzYWI3N2UxZDg3MzBiMGUyN2IzZjc5ZTM1ZmYiLCJ1c2VySWQiOiIyNjI3MzYwMDEifQ==</vt:lpwstr>
  </property>
</Properties>
</file>